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905E7" w14:textId="2A6842BF" w:rsidR="00A31932" w:rsidRPr="000C09C4" w:rsidRDefault="00A31932" w:rsidP="00337279">
      <w:pPr>
        <w:spacing w:after="0" w:line="240" w:lineRule="auto"/>
        <w:jc w:val="center"/>
        <w:rPr>
          <w:rFonts w:ascii="Times New Roman" w:hAnsi="Times New Roman" w:cs="Times New Roman"/>
          <w:sz w:val="24"/>
          <w:szCs w:val="24"/>
        </w:rPr>
      </w:pPr>
      <w:r w:rsidRPr="009C7368">
        <w:rPr>
          <w:rFonts w:ascii="Times New Roman" w:hAnsi="Times New Roman" w:cs="Times New Roman"/>
          <w:i/>
          <w:iCs/>
          <w:sz w:val="24"/>
          <w:szCs w:val="24"/>
        </w:rPr>
        <w:t xml:space="preserve">Gender Empowerment in 19th Century Sweden: Using Historical </w:t>
      </w:r>
      <w:r w:rsidR="004D2A45">
        <w:rPr>
          <w:rFonts w:ascii="Times New Roman" w:hAnsi="Times New Roman" w:cs="Times New Roman"/>
          <w:i/>
          <w:iCs/>
          <w:sz w:val="24"/>
          <w:szCs w:val="24"/>
        </w:rPr>
        <w:t>Trade Shocks</w:t>
      </w:r>
      <w:r w:rsidR="004D2A45" w:rsidRPr="009C7368">
        <w:rPr>
          <w:rFonts w:ascii="Times New Roman" w:hAnsi="Times New Roman" w:cs="Times New Roman"/>
          <w:i/>
          <w:iCs/>
          <w:sz w:val="24"/>
          <w:szCs w:val="24"/>
        </w:rPr>
        <w:t xml:space="preserve"> </w:t>
      </w:r>
      <w:r w:rsidRPr="009C7368">
        <w:rPr>
          <w:rFonts w:ascii="Times New Roman" w:hAnsi="Times New Roman" w:cs="Times New Roman"/>
          <w:i/>
          <w:iCs/>
          <w:sz w:val="24"/>
          <w:szCs w:val="24"/>
        </w:rPr>
        <w:t>to Assess the Effects of Women’s Economic Empowerment</w:t>
      </w:r>
    </w:p>
    <w:p w14:paraId="7CD5685C" w14:textId="1A45319D" w:rsidR="0003160D" w:rsidRDefault="0003160D" w:rsidP="0033727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By Andreas </w:t>
      </w:r>
      <w:proofErr w:type="spellStart"/>
      <w:r>
        <w:rPr>
          <w:rFonts w:ascii="Times New Roman" w:hAnsi="Times New Roman" w:cs="Times New Roman"/>
          <w:sz w:val="24"/>
          <w:szCs w:val="24"/>
        </w:rPr>
        <w:t>Madestam</w:t>
      </w:r>
      <w:proofErr w:type="spellEnd"/>
      <w:r>
        <w:rPr>
          <w:rFonts w:ascii="Times New Roman" w:hAnsi="Times New Roman" w:cs="Times New Roman"/>
          <w:sz w:val="24"/>
          <w:szCs w:val="24"/>
        </w:rPr>
        <w:t xml:space="preserve"> and Emilia </w:t>
      </w:r>
      <w:proofErr w:type="spellStart"/>
      <w:r>
        <w:rPr>
          <w:rFonts w:ascii="Times New Roman" w:hAnsi="Times New Roman" w:cs="Times New Roman"/>
          <w:sz w:val="24"/>
          <w:szCs w:val="24"/>
        </w:rPr>
        <w:t>Simeonova</w:t>
      </w:r>
      <w:proofErr w:type="spellEnd"/>
      <w:r w:rsidR="0090450B" w:rsidRPr="0090450B">
        <w:rPr>
          <w:rFonts w:ascii="Times New Roman" w:hAnsi="Times New Roman" w:cs="Times New Roman"/>
          <w:sz w:val="32"/>
          <w:szCs w:val="32"/>
          <w:vertAlign w:val="superscript"/>
        </w:rPr>
        <w:footnoteReference w:customMarkFollows="1" w:id="1"/>
        <w:sym w:font="Symbol" w:char="F02A"/>
      </w:r>
    </w:p>
    <w:p w14:paraId="4E244250" w14:textId="7FB187B0" w:rsidR="00A31932" w:rsidRDefault="00AC7602" w:rsidP="000D32B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literature </w:t>
      </w:r>
      <w:r w:rsidR="00A31932">
        <w:rPr>
          <w:rFonts w:ascii="Times New Roman" w:hAnsi="Times New Roman" w:cs="Times New Roman"/>
          <w:sz w:val="24"/>
          <w:szCs w:val="24"/>
        </w:rPr>
        <w:t xml:space="preserve">examining the impact of unearned income on children’s outcomes suggests that additional income affects children differently depending on </w:t>
      </w:r>
      <w:r w:rsidR="0055678B">
        <w:rPr>
          <w:rFonts w:ascii="Times New Roman" w:hAnsi="Times New Roman" w:cs="Times New Roman"/>
          <w:sz w:val="24"/>
          <w:szCs w:val="24"/>
        </w:rPr>
        <w:t>who receives it</w:t>
      </w:r>
      <w:r w:rsidR="00A31932">
        <w:rPr>
          <w:rFonts w:ascii="Times New Roman" w:hAnsi="Times New Roman" w:cs="Times New Roman"/>
          <w:sz w:val="24"/>
          <w:szCs w:val="24"/>
        </w:rPr>
        <w:t>: more income accruing to women improves children’s welfare to a larger extent than ext</w:t>
      </w:r>
      <w:r w:rsidR="00BD1732">
        <w:rPr>
          <w:rFonts w:ascii="Times New Roman" w:hAnsi="Times New Roman" w:cs="Times New Roman"/>
          <w:sz w:val="24"/>
          <w:szCs w:val="24"/>
        </w:rPr>
        <w:t xml:space="preserve">ra income given to men (Thomas, 1990; </w:t>
      </w:r>
      <w:r w:rsidR="00A31932">
        <w:rPr>
          <w:rFonts w:ascii="Times New Roman" w:hAnsi="Times New Roman" w:cs="Times New Roman"/>
          <w:sz w:val="24"/>
          <w:szCs w:val="24"/>
        </w:rPr>
        <w:t>1994). Less is known about the effect of changes in women’s earnings relative to that of men’s. Schultz (1985) shows that increasing female wages facilitated the fertility transition in 19</w:t>
      </w:r>
      <w:r w:rsidR="00284B51">
        <w:rPr>
          <w:rFonts w:ascii="Times New Roman" w:hAnsi="Times New Roman" w:cs="Times New Roman"/>
          <w:sz w:val="24"/>
          <w:szCs w:val="24"/>
        </w:rPr>
        <w:t>th</w:t>
      </w:r>
      <w:r w:rsidR="00A31932">
        <w:rPr>
          <w:rFonts w:ascii="Times New Roman" w:hAnsi="Times New Roman" w:cs="Times New Roman"/>
          <w:sz w:val="24"/>
          <w:szCs w:val="24"/>
        </w:rPr>
        <w:t xml:space="preserve"> century Sweden. Miller and </w:t>
      </w:r>
      <w:proofErr w:type="spellStart"/>
      <w:r w:rsidR="00A31932">
        <w:rPr>
          <w:rFonts w:ascii="Times New Roman" w:hAnsi="Times New Roman" w:cs="Times New Roman"/>
          <w:sz w:val="24"/>
          <w:szCs w:val="24"/>
        </w:rPr>
        <w:t>Urdinola</w:t>
      </w:r>
      <w:proofErr w:type="spellEnd"/>
      <w:r w:rsidR="00A31932">
        <w:rPr>
          <w:rFonts w:ascii="Times New Roman" w:hAnsi="Times New Roman" w:cs="Times New Roman"/>
          <w:sz w:val="24"/>
          <w:szCs w:val="24"/>
        </w:rPr>
        <w:t xml:space="preserve"> (2010) find that rising coffee prices resulted in worse child health in Colombia. </w:t>
      </w:r>
      <w:r w:rsidR="0055678B">
        <w:rPr>
          <w:rFonts w:ascii="Times New Roman" w:hAnsi="Times New Roman" w:cs="Times New Roman"/>
          <w:sz w:val="24"/>
          <w:szCs w:val="24"/>
        </w:rPr>
        <w:t xml:space="preserve">Rising </w:t>
      </w:r>
      <w:r w:rsidR="00A31932">
        <w:rPr>
          <w:rFonts w:ascii="Times New Roman" w:hAnsi="Times New Roman" w:cs="Times New Roman"/>
          <w:sz w:val="24"/>
          <w:szCs w:val="24"/>
        </w:rPr>
        <w:t xml:space="preserve">prices for goods produced mainly by women </w:t>
      </w:r>
      <w:r w:rsidR="004838B0">
        <w:rPr>
          <w:rFonts w:ascii="Times New Roman" w:hAnsi="Times New Roman" w:cs="Times New Roman"/>
          <w:sz w:val="24"/>
          <w:szCs w:val="24"/>
        </w:rPr>
        <w:t>(tea)</w:t>
      </w:r>
      <w:r w:rsidR="00A31932">
        <w:rPr>
          <w:rFonts w:ascii="Times New Roman" w:hAnsi="Times New Roman" w:cs="Times New Roman"/>
          <w:sz w:val="24"/>
          <w:szCs w:val="24"/>
        </w:rPr>
        <w:t xml:space="preserve"> led to higher </w:t>
      </w:r>
      <w:r w:rsidR="000D32BE">
        <w:rPr>
          <w:rFonts w:ascii="Times New Roman" w:hAnsi="Times New Roman" w:cs="Times New Roman"/>
          <w:sz w:val="24"/>
          <w:szCs w:val="24"/>
        </w:rPr>
        <w:t xml:space="preserve">female </w:t>
      </w:r>
      <w:r w:rsidR="00A31932">
        <w:rPr>
          <w:rFonts w:ascii="Times New Roman" w:hAnsi="Times New Roman" w:cs="Times New Roman"/>
          <w:sz w:val="24"/>
          <w:szCs w:val="24"/>
        </w:rPr>
        <w:t xml:space="preserve">survival rates in late 1970s </w:t>
      </w:r>
      <w:r w:rsidR="000D32BE">
        <w:rPr>
          <w:rFonts w:ascii="Times New Roman" w:hAnsi="Times New Roman" w:cs="Times New Roman"/>
          <w:sz w:val="24"/>
          <w:szCs w:val="24"/>
        </w:rPr>
        <w:t xml:space="preserve">China </w:t>
      </w:r>
      <w:r w:rsidR="00201A2E">
        <w:rPr>
          <w:rFonts w:ascii="Times New Roman" w:hAnsi="Times New Roman" w:cs="Times New Roman"/>
          <w:sz w:val="24"/>
          <w:szCs w:val="24"/>
        </w:rPr>
        <w:t>(</w:t>
      </w:r>
      <w:proofErr w:type="spellStart"/>
      <w:r w:rsidR="00201A2E">
        <w:rPr>
          <w:rFonts w:ascii="Times New Roman" w:hAnsi="Times New Roman" w:cs="Times New Roman"/>
          <w:sz w:val="24"/>
          <w:szCs w:val="24"/>
        </w:rPr>
        <w:t>Qian</w:t>
      </w:r>
      <w:proofErr w:type="spellEnd"/>
      <w:r w:rsidR="00201A2E">
        <w:rPr>
          <w:rFonts w:ascii="Times New Roman" w:hAnsi="Times New Roman" w:cs="Times New Roman"/>
          <w:sz w:val="24"/>
          <w:szCs w:val="24"/>
        </w:rPr>
        <w:t>, 2008).</w:t>
      </w:r>
    </w:p>
    <w:p w14:paraId="6010D745" w14:textId="3DF80622" w:rsidR="00A31932" w:rsidRPr="002B0859" w:rsidRDefault="00A31932" w:rsidP="00835836">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paper studies whether and to what extent changes in relative female earnings affect children’s outcomes differently from changes in male earnings. We examine the impact of exogenous shocks to prices of female and male-specific agricultural goods on the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current health of children affected by the shocks </w:t>
      </w:r>
      <w:r w:rsidR="0055678B">
        <w:rPr>
          <w:rFonts w:ascii="Times New Roman" w:hAnsi="Times New Roman" w:cs="Times New Roman"/>
          <w:sz w:val="24"/>
          <w:szCs w:val="24"/>
        </w:rPr>
        <w:t>and</w:t>
      </w:r>
      <w:r>
        <w:rPr>
          <w:rFonts w:ascii="Times New Roman" w:hAnsi="Times New Roman" w:cs="Times New Roman"/>
          <w:sz w:val="24"/>
          <w:szCs w:val="24"/>
        </w:rPr>
        <w:t xml:space="preserve"> the (ii) lasting effect on children born to the generation affected by the shocks. We exploit the fact that in traditional agricultural societies like 19</w:t>
      </w:r>
      <w:r w:rsidR="00284B51">
        <w:rPr>
          <w:rFonts w:ascii="Times New Roman" w:hAnsi="Times New Roman" w:cs="Times New Roman"/>
          <w:sz w:val="24"/>
          <w:szCs w:val="24"/>
        </w:rPr>
        <w:t xml:space="preserve">th </w:t>
      </w:r>
      <w:r>
        <w:rPr>
          <w:rFonts w:ascii="Times New Roman" w:hAnsi="Times New Roman" w:cs="Times New Roman"/>
          <w:sz w:val="24"/>
          <w:szCs w:val="24"/>
        </w:rPr>
        <w:t>century Sweden, dairy-related goods were produced mostly using female labor, while root crops such as oats and forestry were a traditionally male occupation (</w:t>
      </w:r>
      <w:proofErr w:type="spellStart"/>
      <w:r>
        <w:rPr>
          <w:rFonts w:ascii="Times New Roman" w:hAnsi="Times New Roman" w:cs="Times New Roman"/>
          <w:sz w:val="24"/>
          <w:szCs w:val="24"/>
        </w:rPr>
        <w:t>Heckscher</w:t>
      </w:r>
      <w:proofErr w:type="spellEnd"/>
      <w:r>
        <w:rPr>
          <w:rFonts w:ascii="Times New Roman" w:hAnsi="Times New Roman" w:cs="Times New Roman"/>
          <w:sz w:val="24"/>
          <w:szCs w:val="24"/>
        </w:rPr>
        <w:t xml:space="preserve">, 1954; </w:t>
      </w:r>
      <w:proofErr w:type="spellStart"/>
      <w:r w:rsidR="00332689">
        <w:rPr>
          <w:rFonts w:ascii="Times New Roman" w:hAnsi="Times New Roman" w:cs="Times New Roman"/>
          <w:sz w:val="24"/>
          <w:szCs w:val="24"/>
        </w:rPr>
        <w:t>Löfgren</w:t>
      </w:r>
      <w:proofErr w:type="spellEnd"/>
      <w:r w:rsidR="00332689">
        <w:rPr>
          <w:rFonts w:ascii="Times New Roman" w:hAnsi="Times New Roman" w:cs="Times New Roman"/>
          <w:sz w:val="24"/>
          <w:szCs w:val="24"/>
        </w:rPr>
        <w:t xml:space="preserve">, 1982; </w:t>
      </w:r>
      <w:r>
        <w:rPr>
          <w:rFonts w:ascii="Times New Roman" w:hAnsi="Times New Roman" w:cs="Times New Roman"/>
          <w:sz w:val="24"/>
          <w:szCs w:val="24"/>
        </w:rPr>
        <w:t>Schultz, 1985</w:t>
      </w:r>
      <w:r w:rsidR="004A32C6">
        <w:rPr>
          <w:rFonts w:ascii="Times New Roman" w:hAnsi="Times New Roman" w:cs="Times New Roman"/>
          <w:sz w:val="24"/>
          <w:szCs w:val="24"/>
        </w:rPr>
        <w:t>;</w:t>
      </w:r>
      <w:r w:rsidR="00E06B1D">
        <w:rPr>
          <w:rFonts w:ascii="Times New Roman" w:hAnsi="Times New Roman" w:cs="Times New Roman"/>
          <w:sz w:val="24"/>
          <w:szCs w:val="24"/>
        </w:rPr>
        <w:t xml:space="preserve"> </w:t>
      </w:r>
      <w:proofErr w:type="spellStart"/>
      <w:r w:rsidR="00E06B1D">
        <w:rPr>
          <w:rFonts w:ascii="Times New Roman" w:hAnsi="Times New Roman" w:cs="Times New Roman"/>
          <w:sz w:val="24"/>
          <w:szCs w:val="24"/>
        </w:rPr>
        <w:t>Sommestad</w:t>
      </w:r>
      <w:proofErr w:type="spellEnd"/>
      <w:r w:rsidR="00E06B1D">
        <w:rPr>
          <w:rFonts w:ascii="Times New Roman" w:hAnsi="Times New Roman" w:cs="Times New Roman"/>
          <w:sz w:val="24"/>
          <w:szCs w:val="24"/>
        </w:rPr>
        <w:t>, 1987</w:t>
      </w:r>
      <w:r>
        <w:rPr>
          <w:rFonts w:ascii="Times New Roman" w:hAnsi="Times New Roman" w:cs="Times New Roman"/>
          <w:sz w:val="24"/>
          <w:szCs w:val="24"/>
        </w:rPr>
        <w:t>). Using relative male- and female-specific earnings shocks allow</w:t>
      </w:r>
      <w:r w:rsidR="0055678B">
        <w:rPr>
          <w:rFonts w:ascii="Times New Roman" w:hAnsi="Times New Roman" w:cs="Times New Roman"/>
          <w:sz w:val="24"/>
          <w:szCs w:val="24"/>
        </w:rPr>
        <w:t>s</w:t>
      </w:r>
      <w:r>
        <w:rPr>
          <w:rFonts w:ascii="Times New Roman" w:hAnsi="Times New Roman" w:cs="Times New Roman"/>
          <w:sz w:val="24"/>
          <w:szCs w:val="24"/>
        </w:rPr>
        <w:t xml:space="preserve"> us to disentangle effects due to changes in total household income from the imp</w:t>
      </w:r>
      <w:r w:rsidR="00767608">
        <w:rPr>
          <w:rFonts w:ascii="Times New Roman" w:hAnsi="Times New Roman" w:cs="Times New Roman"/>
          <w:sz w:val="24"/>
          <w:szCs w:val="24"/>
        </w:rPr>
        <w:t>act of gender-specific changes.</w:t>
      </w:r>
    </w:p>
    <w:p w14:paraId="011F549A" w14:textId="40FE23F3" w:rsidR="00A31932" w:rsidRDefault="00332689" w:rsidP="0055678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paper</w:t>
      </w:r>
      <w:r w:rsidRPr="00B46DF0">
        <w:rPr>
          <w:rFonts w:ascii="Times New Roman" w:hAnsi="Times New Roman" w:cs="Times New Roman"/>
          <w:sz w:val="24"/>
          <w:szCs w:val="24"/>
        </w:rPr>
        <w:t xml:space="preserve"> </w:t>
      </w:r>
      <w:r w:rsidR="00A31932" w:rsidRPr="00B46DF0">
        <w:rPr>
          <w:rFonts w:ascii="Times New Roman" w:hAnsi="Times New Roman" w:cs="Times New Roman"/>
          <w:sz w:val="24"/>
          <w:szCs w:val="24"/>
        </w:rPr>
        <w:t>explore</w:t>
      </w:r>
      <w:r>
        <w:rPr>
          <w:rFonts w:ascii="Times New Roman" w:hAnsi="Times New Roman" w:cs="Times New Roman"/>
          <w:sz w:val="24"/>
          <w:szCs w:val="24"/>
        </w:rPr>
        <w:t>s</w:t>
      </w:r>
      <w:r w:rsidR="00A31932" w:rsidRPr="00B46DF0">
        <w:rPr>
          <w:rFonts w:ascii="Times New Roman" w:hAnsi="Times New Roman" w:cs="Times New Roman"/>
          <w:sz w:val="24"/>
          <w:szCs w:val="24"/>
        </w:rPr>
        <w:t xml:space="preserve"> </w:t>
      </w:r>
      <w:r w:rsidR="00CA6B8F">
        <w:rPr>
          <w:rFonts w:ascii="Times New Roman" w:hAnsi="Times New Roman" w:cs="Times New Roman"/>
          <w:sz w:val="24"/>
          <w:szCs w:val="24"/>
        </w:rPr>
        <w:t>unexpected changes</w:t>
      </w:r>
      <w:r w:rsidR="00CA6B8F" w:rsidRPr="00B46DF0">
        <w:rPr>
          <w:rFonts w:ascii="Times New Roman" w:hAnsi="Times New Roman" w:cs="Times New Roman"/>
          <w:sz w:val="24"/>
          <w:szCs w:val="24"/>
        </w:rPr>
        <w:t xml:space="preserve"> </w:t>
      </w:r>
      <w:r w:rsidR="00A31932">
        <w:rPr>
          <w:rFonts w:ascii="Times New Roman" w:hAnsi="Times New Roman" w:cs="Times New Roman"/>
          <w:sz w:val="24"/>
          <w:szCs w:val="24"/>
        </w:rPr>
        <w:t xml:space="preserve">in </w:t>
      </w:r>
      <w:r w:rsidR="003B170C">
        <w:rPr>
          <w:rFonts w:ascii="Times New Roman" w:hAnsi="Times New Roman" w:cs="Times New Roman"/>
          <w:sz w:val="24"/>
          <w:szCs w:val="24"/>
        </w:rPr>
        <w:t xml:space="preserve">relative income by gender </w:t>
      </w:r>
      <w:r w:rsidR="00A31932" w:rsidRPr="00B46DF0">
        <w:rPr>
          <w:rFonts w:ascii="Times New Roman" w:hAnsi="Times New Roman" w:cs="Times New Roman"/>
          <w:sz w:val="24"/>
          <w:szCs w:val="24"/>
        </w:rPr>
        <w:t>induced by export sho</w:t>
      </w:r>
      <w:r w:rsidR="00A31932">
        <w:rPr>
          <w:rFonts w:ascii="Times New Roman" w:hAnsi="Times New Roman" w:cs="Times New Roman"/>
          <w:sz w:val="24"/>
          <w:szCs w:val="24"/>
        </w:rPr>
        <w:t>cks</w:t>
      </w:r>
      <w:r w:rsidR="003B170C">
        <w:rPr>
          <w:rFonts w:ascii="Times New Roman" w:hAnsi="Times New Roman" w:cs="Times New Roman"/>
          <w:sz w:val="24"/>
          <w:szCs w:val="24"/>
        </w:rPr>
        <w:t>. We</w:t>
      </w:r>
      <w:r w:rsidR="00A31932">
        <w:rPr>
          <w:rFonts w:ascii="Times New Roman" w:hAnsi="Times New Roman" w:cs="Times New Roman"/>
          <w:sz w:val="24"/>
          <w:szCs w:val="24"/>
        </w:rPr>
        <w:t xml:space="preserve"> </w:t>
      </w:r>
      <w:r w:rsidR="0055678B">
        <w:rPr>
          <w:rFonts w:ascii="Times New Roman" w:hAnsi="Times New Roman" w:cs="Times New Roman"/>
          <w:sz w:val="24"/>
          <w:szCs w:val="24"/>
        </w:rPr>
        <w:t>study</w:t>
      </w:r>
      <w:r w:rsidR="0055678B" w:rsidRPr="00B46DF0">
        <w:rPr>
          <w:rFonts w:ascii="Times New Roman" w:hAnsi="Times New Roman" w:cs="Times New Roman"/>
          <w:sz w:val="24"/>
          <w:szCs w:val="24"/>
        </w:rPr>
        <w:t xml:space="preserve"> </w:t>
      </w:r>
      <w:r w:rsidR="00A31932" w:rsidRPr="00B46DF0">
        <w:rPr>
          <w:rFonts w:ascii="Times New Roman" w:hAnsi="Times New Roman" w:cs="Times New Roman"/>
          <w:sz w:val="24"/>
          <w:szCs w:val="24"/>
        </w:rPr>
        <w:t xml:space="preserve">differences in outcomes across areas more suitable for growing the crop </w:t>
      </w:r>
      <w:r w:rsidR="00C21792">
        <w:rPr>
          <w:rFonts w:ascii="Times New Roman" w:hAnsi="Times New Roman" w:cs="Times New Roman"/>
          <w:sz w:val="24"/>
          <w:szCs w:val="24"/>
        </w:rPr>
        <w:t>subject to</w:t>
      </w:r>
      <w:r w:rsidR="00C21792" w:rsidRPr="00B46DF0">
        <w:rPr>
          <w:rFonts w:ascii="Times New Roman" w:hAnsi="Times New Roman" w:cs="Times New Roman"/>
          <w:sz w:val="24"/>
          <w:szCs w:val="24"/>
        </w:rPr>
        <w:t xml:space="preserve"> </w:t>
      </w:r>
      <w:r w:rsidR="00A31932" w:rsidRPr="00B46DF0">
        <w:rPr>
          <w:rFonts w:ascii="Times New Roman" w:hAnsi="Times New Roman" w:cs="Times New Roman"/>
          <w:sz w:val="24"/>
          <w:szCs w:val="24"/>
        </w:rPr>
        <w:t xml:space="preserve">the </w:t>
      </w:r>
      <w:r w:rsidR="00A31932" w:rsidRPr="00B46DF0">
        <w:rPr>
          <w:rFonts w:ascii="Times New Roman" w:hAnsi="Times New Roman" w:cs="Times New Roman"/>
          <w:sz w:val="24"/>
          <w:szCs w:val="24"/>
        </w:rPr>
        <w:lastRenderedPageBreak/>
        <w:t xml:space="preserve">shock to areas </w:t>
      </w:r>
      <w:r w:rsidR="00CA6B8F">
        <w:rPr>
          <w:rFonts w:ascii="Times New Roman" w:hAnsi="Times New Roman" w:cs="Times New Roman"/>
          <w:sz w:val="24"/>
          <w:szCs w:val="24"/>
        </w:rPr>
        <w:t xml:space="preserve">that are </w:t>
      </w:r>
      <w:r w:rsidR="00A31932" w:rsidRPr="00B46DF0">
        <w:rPr>
          <w:rFonts w:ascii="Times New Roman" w:hAnsi="Times New Roman" w:cs="Times New Roman"/>
          <w:sz w:val="24"/>
          <w:szCs w:val="24"/>
        </w:rPr>
        <w:t>less suitable, before and after the shock occurred.</w:t>
      </w:r>
      <w:r w:rsidR="00A31932">
        <w:rPr>
          <w:rFonts w:ascii="Times New Roman" w:hAnsi="Times New Roman" w:cs="Times New Roman"/>
          <w:sz w:val="24"/>
          <w:szCs w:val="24"/>
        </w:rPr>
        <w:t xml:space="preserve"> </w:t>
      </w:r>
      <w:r w:rsidR="00A31932" w:rsidRPr="0028491A">
        <w:rPr>
          <w:rFonts w:ascii="Times New Roman" w:hAnsi="Times New Roman" w:cs="Times New Roman"/>
          <w:sz w:val="24"/>
          <w:szCs w:val="24"/>
        </w:rPr>
        <w:t xml:space="preserve">Information on </w:t>
      </w:r>
      <w:r w:rsidR="00A31932">
        <w:rPr>
          <w:rFonts w:ascii="Times New Roman" w:hAnsi="Times New Roman" w:cs="Times New Roman"/>
          <w:sz w:val="24"/>
          <w:szCs w:val="24"/>
        </w:rPr>
        <w:t>historical</w:t>
      </w:r>
      <w:r w:rsidR="00A31932" w:rsidRPr="0028491A">
        <w:rPr>
          <w:rFonts w:ascii="Times New Roman" w:hAnsi="Times New Roman" w:cs="Times New Roman"/>
          <w:sz w:val="24"/>
          <w:szCs w:val="24"/>
        </w:rPr>
        <w:t xml:space="preserve"> trade shocks and </w:t>
      </w:r>
      <w:r w:rsidR="00C21792">
        <w:rPr>
          <w:rFonts w:ascii="Times New Roman" w:hAnsi="Times New Roman" w:cs="Times New Roman"/>
          <w:sz w:val="24"/>
          <w:szCs w:val="24"/>
        </w:rPr>
        <w:t>soil</w:t>
      </w:r>
      <w:r w:rsidR="00C21792" w:rsidRPr="0028491A">
        <w:rPr>
          <w:rFonts w:ascii="Times New Roman" w:hAnsi="Times New Roman" w:cs="Times New Roman"/>
          <w:sz w:val="24"/>
          <w:szCs w:val="24"/>
        </w:rPr>
        <w:t xml:space="preserve"> </w:t>
      </w:r>
      <w:r w:rsidR="00A31932" w:rsidRPr="0028491A">
        <w:rPr>
          <w:rFonts w:ascii="Times New Roman" w:hAnsi="Times New Roman" w:cs="Times New Roman"/>
          <w:sz w:val="24"/>
          <w:szCs w:val="24"/>
        </w:rPr>
        <w:t>suitability measures</w:t>
      </w:r>
      <w:r w:rsidR="00284B51">
        <w:rPr>
          <w:rFonts w:ascii="Times New Roman" w:hAnsi="Times New Roman" w:cs="Times New Roman"/>
          <w:sz w:val="24"/>
          <w:szCs w:val="24"/>
        </w:rPr>
        <w:t>,</w:t>
      </w:r>
      <w:r w:rsidR="00A31932" w:rsidRPr="0028491A">
        <w:rPr>
          <w:rFonts w:ascii="Times New Roman" w:hAnsi="Times New Roman" w:cs="Times New Roman"/>
          <w:sz w:val="24"/>
          <w:szCs w:val="24"/>
        </w:rPr>
        <w:t xml:space="preserve"> available from the Food and Agriculture Organization (FAO)</w:t>
      </w:r>
      <w:r w:rsidR="00284B51">
        <w:rPr>
          <w:rFonts w:ascii="Times New Roman" w:hAnsi="Times New Roman" w:cs="Times New Roman"/>
          <w:sz w:val="24"/>
          <w:szCs w:val="24"/>
        </w:rPr>
        <w:t>,</w:t>
      </w:r>
      <w:r w:rsidR="00A31932" w:rsidRPr="0028491A">
        <w:rPr>
          <w:rFonts w:ascii="Times New Roman" w:hAnsi="Times New Roman" w:cs="Times New Roman"/>
          <w:sz w:val="24"/>
          <w:szCs w:val="24"/>
        </w:rPr>
        <w:t xml:space="preserve"> are matched with a unique individual-level dataset based on parish books kept by parish priests in Sweden during the period </w:t>
      </w:r>
      <w:r w:rsidR="00A31932">
        <w:rPr>
          <w:rFonts w:ascii="Times New Roman" w:hAnsi="Times New Roman" w:cs="Times New Roman"/>
          <w:sz w:val="24"/>
          <w:szCs w:val="24"/>
        </w:rPr>
        <w:t xml:space="preserve">1810-1890. The parish data link people across generations and contain demographic information on the universe of individuals born in 37 </w:t>
      </w:r>
      <w:r w:rsidR="0055678B">
        <w:rPr>
          <w:rFonts w:ascii="Times New Roman" w:hAnsi="Times New Roman" w:cs="Times New Roman"/>
          <w:sz w:val="24"/>
          <w:szCs w:val="24"/>
        </w:rPr>
        <w:t xml:space="preserve">Swedish </w:t>
      </w:r>
      <w:r w:rsidR="00201A2E">
        <w:rPr>
          <w:rFonts w:ascii="Times New Roman" w:hAnsi="Times New Roman" w:cs="Times New Roman"/>
          <w:sz w:val="24"/>
          <w:szCs w:val="24"/>
        </w:rPr>
        <w:t>parishes between 1810 and 1890.</w:t>
      </w:r>
    </w:p>
    <w:p w14:paraId="29FD45F4" w14:textId="7E13A1FB" w:rsidR="00A31932" w:rsidRPr="00B73781" w:rsidRDefault="00A31932" w:rsidP="0092480B">
      <w:pPr>
        <w:spacing w:after="0" w:line="480" w:lineRule="auto"/>
        <w:ind w:firstLine="720"/>
        <w:jc w:val="both"/>
        <w:rPr>
          <w:rFonts w:ascii="Times New Roman" w:hAnsi="Times New Roman" w:cs="Times New Roman"/>
          <w:sz w:val="24"/>
          <w:szCs w:val="24"/>
        </w:rPr>
      </w:pPr>
      <w:r w:rsidRPr="00E4471A">
        <w:rPr>
          <w:rFonts w:ascii="Times New Roman" w:hAnsi="Times New Roman" w:cs="Times New Roman"/>
          <w:sz w:val="24"/>
          <w:szCs w:val="24"/>
        </w:rPr>
        <w:t xml:space="preserve">We find that higher relative male </w:t>
      </w:r>
      <w:r>
        <w:rPr>
          <w:rFonts w:ascii="Times New Roman" w:hAnsi="Times New Roman" w:cs="Times New Roman"/>
          <w:sz w:val="24"/>
          <w:szCs w:val="24"/>
        </w:rPr>
        <w:t>earnings</w:t>
      </w:r>
      <w:r w:rsidR="00284B51">
        <w:rPr>
          <w:rFonts w:ascii="Times New Roman" w:hAnsi="Times New Roman" w:cs="Times New Roman"/>
          <w:sz w:val="24"/>
          <w:szCs w:val="24"/>
        </w:rPr>
        <w:t xml:space="preserve"> led</w:t>
      </w:r>
      <w:r w:rsidRPr="00E4471A">
        <w:rPr>
          <w:rFonts w:ascii="Times New Roman" w:hAnsi="Times New Roman" w:cs="Times New Roman"/>
          <w:sz w:val="24"/>
          <w:szCs w:val="24"/>
        </w:rPr>
        <w:t xml:space="preserve"> to more illegitimate births and worse children’s health</w:t>
      </w:r>
      <w:r>
        <w:rPr>
          <w:rFonts w:ascii="Times New Roman" w:hAnsi="Times New Roman" w:cs="Times New Roman"/>
          <w:sz w:val="24"/>
          <w:szCs w:val="24"/>
        </w:rPr>
        <w:t>. On the contrary, increasing women’s relative incomes reduce</w:t>
      </w:r>
      <w:r w:rsidR="00284B51">
        <w:rPr>
          <w:rFonts w:ascii="Times New Roman" w:hAnsi="Times New Roman" w:cs="Times New Roman"/>
          <w:sz w:val="24"/>
          <w:szCs w:val="24"/>
        </w:rPr>
        <w:t>d</w:t>
      </w:r>
      <w:r>
        <w:rPr>
          <w:rFonts w:ascii="Times New Roman" w:hAnsi="Times New Roman" w:cs="Times New Roman"/>
          <w:sz w:val="24"/>
          <w:szCs w:val="24"/>
        </w:rPr>
        <w:t xml:space="preserve"> the illegitimacy rates and improve</w:t>
      </w:r>
      <w:r w:rsidR="00A6061B">
        <w:rPr>
          <w:rFonts w:ascii="Times New Roman" w:hAnsi="Times New Roman" w:cs="Times New Roman"/>
          <w:sz w:val="24"/>
          <w:szCs w:val="24"/>
        </w:rPr>
        <w:t>d</w:t>
      </w:r>
      <w:r>
        <w:rPr>
          <w:rFonts w:ascii="Times New Roman" w:hAnsi="Times New Roman" w:cs="Times New Roman"/>
          <w:sz w:val="24"/>
          <w:szCs w:val="24"/>
        </w:rPr>
        <w:t xml:space="preserve"> health outcomes. </w:t>
      </w:r>
      <w:r w:rsidR="00332689">
        <w:rPr>
          <w:rFonts w:ascii="Times New Roman" w:hAnsi="Times New Roman" w:cs="Times New Roman"/>
          <w:sz w:val="24"/>
          <w:szCs w:val="24"/>
        </w:rPr>
        <w:t>G</w:t>
      </w:r>
      <w:r w:rsidR="00332689" w:rsidRPr="00410BB0">
        <w:rPr>
          <w:rFonts w:ascii="Times New Roman" w:hAnsi="Times New Roman" w:cs="Times New Roman"/>
          <w:sz w:val="24"/>
          <w:szCs w:val="24"/>
        </w:rPr>
        <w:t xml:space="preserve">ender-specific earnings shocks </w:t>
      </w:r>
      <w:r w:rsidR="00A6061B">
        <w:rPr>
          <w:rFonts w:ascii="Times New Roman" w:hAnsi="Times New Roman" w:cs="Times New Roman"/>
          <w:sz w:val="24"/>
          <w:szCs w:val="24"/>
        </w:rPr>
        <w:t xml:space="preserve">also </w:t>
      </w:r>
      <w:r w:rsidR="00332689" w:rsidRPr="00410BB0">
        <w:rPr>
          <w:rFonts w:ascii="Times New Roman" w:hAnsi="Times New Roman" w:cs="Times New Roman"/>
          <w:sz w:val="24"/>
          <w:szCs w:val="24"/>
        </w:rPr>
        <w:t>have long-lasting and persistent effects.</w:t>
      </w:r>
      <w:r w:rsidR="00332689">
        <w:rPr>
          <w:rFonts w:ascii="Times New Roman" w:hAnsi="Times New Roman" w:cs="Times New Roman"/>
          <w:sz w:val="24"/>
          <w:szCs w:val="24"/>
        </w:rPr>
        <w:t xml:space="preserve"> </w:t>
      </w:r>
      <w:r>
        <w:rPr>
          <w:rFonts w:ascii="Times New Roman" w:hAnsi="Times New Roman" w:cs="Times New Roman"/>
          <w:sz w:val="24"/>
          <w:szCs w:val="24"/>
        </w:rPr>
        <w:t xml:space="preserve">Women whose parents experienced a male-specific positive earnings shock </w:t>
      </w:r>
      <w:r w:rsidR="00284B51">
        <w:rPr>
          <w:rFonts w:ascii="Times New Roman" w:hAnsi="Times New Roman" w:cs="Times New Roman"/>
          <w:sz w:val="24"/>
          <w:szCs w:val="24"/>
        </w:rPr>
        <w:t>had</w:t>
      </w:r>
      <w:r w:rsidR="0055678B">
        <w:rPr>
          <w:rFonts w:ascii="Times New Roman" w:hAnsi="Times New Roman" w:cs="Times New Roman"/>
          <w:sz w:val="24"/>
          <w:szCs w:val="24"/>
        </w:rPr>
        <w:t xml:space="preserve"> more children,</w:t>
      </w:r>
      <w:r>
        <w:rPr>
          <w:rFonts w:ascii="Times New Roman" w:hAnsi="Times New Roman" w:cs="Times New Roman"/>
          <w:sz w:val="24"/>
          <w:szCs w:val="24"/>
        </w:rPr>
        <w:t xml:space="preserve"> g</w:t>
      </w:r>
      <w:r w:rsidR="00284B51">
        <w:rPr>
          <w:rFonts w:ascii="Times New Roman" w:hAnsi="Times New Roman" w:cs="Times New Roman"/>
          <w:sz w:val="24"/>
          <w:szCs w:val="24"/>
        </w:rPr>
        <w:t>a</w:t>
      </w:r>
      <w:r>
        <w:rPr>
          <w:rFonts w:ascii="Times New Roman" w:hAnsi="Times New Roman" w:cs="Times New Roman"/>
          <w:sz w:val="24"/>
          <w:szCs w:val="24"/>
        </w:rPr>
        <w:t>ve birth to their first child at a younger age, and experience</w:t>
      </w:r>
      <w:r w:rsidR="00284B51">
        <w:rPr>
          <w:rFonts w:ascii="Times New Roman" w:hAnsi="Times New Roman" w:cs="Times New Roman"/>
          <w:sz w:val="24"/>
          <w:szCs w:val="24"/>
        </w:rPr>
        <w:t>d</w:t>
      </w:r>
      <w:r>
        <w:rPr>
          <w:rFonts w:ascii="Times New Roman" w:hAnsi="Times New Roman" w:cs="Times New Roman"/>
          <w:sz w:val="24"/>
          <w:szCs w:val="24"/>
        </w:rPr>
        <w:t xml:space="preserve"> higher </w:t>
      </w:r>
      <w:r w:rsidR="00C21792">
        <w:rPr>
          <w:rFonts w:ascii="Times New Roman" w:hAnsi="Times New Roman" w:cs="Times New Roman"/>
          <w:sz w:val="24"/>
          <w:szCs w:val="24"/>
        </w:rPr>
        <w:t xml:space="preserve">child </w:t>
      </w:r>
      <w:r>
        <w:rPr>
          <w:rFonts w:ascii="Times New Roman" w:hAnsi="Times New Roman" w:cs="Times New Roman"/>
          <w:sz w:val="24"/>
          <w:szCs w:val="24"/>
        </w:rPr>
        <w:t xml:space="preserve">death rates. </w:t>
      </w:r>
      <w:r w:rsidR="0055678B">
        <w:rPr>
          <w:rFonts w:ascii="Times New Roman" w:hAnsi="Times New Roman" w:cs="Times New Roman"/>
          <w:sz w:val="24"/>
          <w:szCs w:val="24"/>
        </w:rPr>
        <w:t>We</w:t>
      </w:r>
      <w:r w:rsidR="0055678B" w:rsidRPr="00410BB0">
        <w:rPr>
          <w:rFonts w:ascii="Times New Roman" w:hAnsi="Times New Roman" w:cs="Times New Roman"/>
          <w:sz w:val="24"/>
          <w:szCs w:val="24"/>
        </w:rPr>
        <w:t xml:space="preserve"> </w:t>
      </w:r>
      <w:r w:rsidRPr="00410BB0">
        <w:rPr>
          <w:rFonts w:ascii="Times New Roman" w:hAnsi="Times New Roman" w:cs="Times New Roman"/>
          <w:sz w:val="24"/>
          <w:szCs w:val="24"/>
        </w:rPr>
        <w:t xml:space="preserve">detect a </w:t>
      </w:r>
      <w:r w:rsidR="0055678B">
        <w:rPr>
          <w:rFonts w:ascii="Times New Roman" w:hAnsi="Times New Roman" w:cs="Times New Roman"/>
          <w:sz w:val="24"/>
          <w:szCs w:val="24"/>
        </w:rPr>
        <w:t xml:space="preserve">reduction in total fertility among parents who experienced a female-specific </w:t>
      </w:r>
      <w:r w:rsidR="00C21792">
        <w:rPr>
          <w:rFonts w:ascii="Times New Roman" w:hAnsi="Times New Roman" w:cs="Times New Roman"/>
          <w:sz w:val="24"/>
          <w:szCs w:val="24"/>
        </w:rPr>
        <w:t xml:space="preserve">earnings </w:t>
      </w:r>
      <w:r w:rsidR="0055678B">
        <w:rPr>
          <w:rFonts w:ascii="Times New Roman" w:hAnsi="Times New Roman" w:cs="Times New Roman"/>
          <w:sz w:val="24"/>
          <w:szCs w:val="24"/>
        </w:rPr>
        <w:t>shock during childhood and</w:t>
      </w:r>
      <w:r w:rsidR="00E5400B">
        <w:rPr>
          <w:rFonts w:ascii="Times New Roman" w:hAnsi="Times New Roman" w:cs="Times New Roman"/>
          <w:sz w:val="24"/>
          <w:szCs w:val="24"/>
        </w:rPr>
        <w:t xml:space="preserve"> a</w:t>
      </w:r>
      <w:bookmarkStart w:id="0" w:name="_GoBack"/>
      <w:bookmarkEnd w:id="0"/>
      <w:r w:rsidR="0055678B">
        <w:rPr>
          <w:rFonts w:ascii="Times New Roman" w:hAnsi="Times New Roman" w:cs="Times New Roman"/>
          <w:sz w:val="24"/>
          <w:szCs w:val="24"/>
        </w:rPr>
        <w:t xml:space="preserve"> </w:t>
      </w:r>
      <w:r w:rsidR="00C21792">
        <w:rPr>
          <w:rFonts w:ascii="Times New Roman" w:hAnsi="Times New Roman" w:cs="Times New Roman"/>
          <w:sz w:val="24"/>
          <w:szCs w:val="24"/>
        </w:rPr>
        <w:t>decrease</w:t>
      </w:r>
      <w:r w:rsidR="00C21792" w:rsidRPr="00410BB0">
        <w:rPr>
          <w:rFonts w:ascii="Times New Roman" w:hAnsi="Times New Roman" w:cs="Times New Roman"/>
          <w:sz w:val="24"/>
          <w:szCs w:val="24"/>
        </w:rPr>
        <w:t xml:space="preserve"> </w:t>
      </w:r>
      <w:r w:rsidRPr="00410BB0">
        <w:rPr>
          <w:rFonts w:ascii="Times New Roman" w:hAnsi="Times New Roman" w:cs="Times New Roman"/>
          <w:sz w:val="24"/>
          <w:szCs w:val="24"/>
        </w:rPr>
        <w:t>in the incidence of infant death among their children.</w:t>
      </w:r>
    </w:p>
    <w:p w14:paraId="3DE35A27" w14:textId="2DE8ED84" w:rsidR="00A31932" w:rsidRDefault="00A31932" w:rsidP="00A6061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the export-driven demand shocks are exogenous to the individual household they allow us to isolate the impact </w:t>
      </w:r>
      <w:r w:rsidR="00C21792">
        <w:rPr>
          <w:rFonts w:ascii="Times New Roman" w:hAnsi="Times New Roman" w:cs="Times New Roman"/>
          <w:sz w:val="24"/>
          <w:szCs w:val="24"/>
        </w:rPr>
        <w:t xml:space="preserve">of </w:t>
      </w:r>
      <w:r>
        <w:rPr>
          <w:rFonts w:ascii="Times New Roman" w:hAnsi="Times New Roman" w:cs="Times New Roman"/>
          <w:sz w:val="24"/>
          <w:szCs w:val="24"/>
        </w:rPr>
        <w:t xml:space="preserve">relative wage changes that are independent of parents’ behavior, such as labor supply decisions influenced by household-level unobserved variables. In </w:t>
      </w:r>
      <w:r w:rsidR="00284B51">
        <w:rPr>
          <w:rFonts w:ascii="Times New Roman" w:hAnsi="Times New Roman" w:cs="Times New Roman"/>
          <w:sz w:val="24"/>
          <w:szCs w:val="24"/>
        </w:rPr>
        <w:t>the</w:t>
      </w:r>
      <w:r w:rsidR="00C21792">
        <w:rPr>
          <w:rFonts w:ascii="Times New Roman" w:hAnsi="Times New Roman" w:cs="Times New Roman"/>
          <w:sz w:val="24"/>
          <w:szCs w:val="24"/>
        </w:rPr>
        <w:t xml:space="preserve"> </w:t>
      </w:r>
      <w:r>
        <w:rPr>
          <w:rFonts w:ascii="Times New Roman" w:hAnsi="Times New Roman" w:cs="Times New Roman"/>
          <w:sz w:val="24"/>
          <w:szCs w:val="24"/>
        </w:rPr>
        <w:t>19</w:t>
      </w:r>
      <w:r w:rsidR="00284B51">
        <w:rPr>
          <w:rFonts w:ascii="Times New Roman" w:hAnsi="Times New Roman" w:cs="Times New Roman"/>
          <w:sz w:val="24"/>
          <w:szCs w:val="24"/>
        </w:rPr>
        <w:t xml:space="preserve">th </w:t>
      </w:r>
      <w:r>
        <w:rPr>
          <w:rFonts w:ascii="Times New Roman" w:hAnsi="Times New Roman" w:cs="Times New Roman"/>
          <w:sz w:val="24"/>
          <w:szCs w:val="24"/>
        </w:rPr>
        <w:t xml:space="preserve">century setting </w:t>
      </w:r>
      <w:r w:rsidR="00284B51">
        <w:rPr>
          <w:rFonts w:ascii="Times New Roman" w:hAnsi="Times New Roman" w:cs="Times New Roman"/>
          <w:sz w:val="24"/>
          <w:szCs w:val="24"/>
        </w:rPr>
        <w:t xml:space="preserve">of our study </w:t>
      </w:r>
      <w:r w:rsidR="00BB5FBC">
        <w:rPr>
          <w:rFonts w:ascii="Times New Roman" w:hAnsi="Times New Roman" w:cs="Times New Roman"/>
          <w:sz w:val="24"/>
          <w:szCs w:val="24"/>
        </w:rPr>
        <w:t xml:space="preserve">most individuals are involved in </w:t>
      </w:r>
      <w:r w:rsidR="003B170C">
        <w:rPr>
          <w:rFonts w:ascii="Times New Roman" w:hAnsi="Times New Roman" w:cs="Times New Roman"/>
          <w:sz w:val="24"/>
          <w:szCs w:val="24"/>
        </w:rPr>
        <w:t>agriculture;</w:t>
      </w:r>
      <w:r w:rsidR="00BB5FBC">
        <w:rPr>
          <w:rFonts w:ascii="Times New Roman" w:hAnsi="Times New Roman" w:cs="Times New Roman"/>
          <w:sz w:val="24"/>
          <w:szCs w:val="24"/>
        </w:rPr>
        <w:t xml:space="preserve"> selective fertility due to </w:t>
      </w:r>
      <w:r>
        <w:rPr>
          <w:rFonts w:ascii="Times New Roman" w:hAnsi="Times New Roman" w:cs="Times New Roman"/>
          <w:sz w:val="24"/>
          <w:szCs w:val="24"/>
        </w:rPr>
        <w:t xml:space="preserve">investments in education or differential selection into the labor force </w:t>
      </w:r>
      <w:r w:rsidR="00332689">
        <w:rPr>
          <w:rFonts w:ascii="Times New Roman" w:hAnsi="Times New Roman" w:cs="Times New Roman"/>
          <w:sz w:val="24"/>
          <w:szCs w:val="24"/>
        </w:rPr>
        <w:t>is</w:t>
      </w:r>
      <w:r>
        <w:rPr>
          <w:rFonts w:ascii="Times New Roman" w:hAnsi="Times New Roman" w:cs="Times New Roman"/>
          <w:sz w:val="24"/>
          <w:szCs w:val="24"/>
        </w:rPr>
        <w:t xml:space="preserve"> </w:t>
      </w:r>
      <w:r w:rsidR="003B170C">
        <w:rPr>
          <w:rFonts w:ascii="Times New Roman" w:hAnsi="Times New Roman" w:cs="Times New Roman"/>
          <w:sz w:val="24"/>
          <w:szCs w:val="24"/>
        </w:rPr>
        <w:t>unlikely</w:t>
      </w:r>
      <w:r>
        <w:rPr>
          <w:rFonts w:ascii="Times New Roman" w:hAnsi="Times New Roman" w:cs="Times New Roman"/>
          <w:sz w:val="24"/>
          <w:szCs w:val="24"/>
        </w:rPr>
        <w:t>. An</w:t>
      </w:r>
      <w:r w:rsidR="00BB5FBC">
        <w:rPr>
          <w:rFonts w:ascii="Times New Roman" w:hAnsi="Times New Roman" w:cs="Times New Roman"/>
          <w:sz w:val="24"/>
          <w:szCs w:val="24"/>
        </w:rPr>
        <w:t>other</w:t>
      </w:r>
      <w:r>
        <w:rPr>
          <w:rFonts w:ascii="Times New Roman" w:hAnsi="Times New Roman" w:cs="Times New Roman"/>
          <w:sz w:val="24"/>
          <w:szCs w:val="24"/>
        </w:rPr>
        <w:t xml:space="preserve"> appealing feature of the data is that two of the export-driven </w:t>
      </w:r>
      <w:r w:rsidR="00547BC4">
        <w:rPr>
          <w:rFonts w:ascii="Times New Roman" w:hAnsi="Times New Roman" w:cs="Times New Roman"/>
          <w:sz w:val="24"/>
          <w:szCs w:val="24"/>
        </w:rPr>
        <w:t xml:space="preserve">booms </w:t>
      </w:r>
      <w:r>
        <w:rPr>
          <w:rFonts w:ascii="Times New Roman" w:hAnsi="Times New Roman" w:cs="Times New Roman"/>
          <w:sz w:val="24"/>
          <w:szCs w:val="24"/>
        </w:rPr>
        <w:t>increase relative male earnings while keeping female earnings constant</w:t>
      </w:r>
      <w:r w:rsidR="00547BC4">
        <w:rPr>
          <w:rFonts w:ascii="Times New Roman" w:hAnsi="Times New Roman" w:cs="Times New Roman"/>
          <w:sz w:val="24"/>
          <w:szCs w:val="24"/>
        </w:rPr>
        <w:t>, the third</w:t>
      </w:r>
      <w:r>
        <w:rPr>
          <w:rFonts w:ascii="Times New Roman" w:hAnsi="Times New Roman" w:cs="Times New Roman"/>
          <w:sz w:val="24"/>
          <w:szCs w:val="24"/>
        </w:rPr>
        <w:t xml:space="preserve"> shock lowers relative male earnings, and </w:t>
      </w:r>
      <w:r w:rsidR="00547BC4">
        <w:rPr>
          <w:rFonts w:ascii="Times New Roman" w:hAnsi="Times New Roman" w:cs="Times New Roman"/>
          <w:sz w:val="24"/>
          <w:szCs w:val="24"/>
        </w:rPr>
        <w:t xml:space="preserve">the fourth </w:t>
      </w:r>
      <w:r>
        <w:rPr>
          <w:rFonts w:ascii="Times New Roman" w:hAnsi="Times New Roman" w:cs="Times New Roman"/>
          <w:sz w:val="24"/>
          <w:szCs w:val="24"/>
        </w:rPr>
        <w:t>increases female earnings. This allows us to identify the effects of gender-specific shocks separately from general household income shocks.</w:t>
      </w:r>
      <w:r w:rsidR="003B170C">
        <w:rPr>
          <w:rFonts w:ascii="Times New Roman" w:hAnsi="Times New Roman" w:cs="Times New Roman"/>
          <w:sz w:val="24"/>
          <w:szCs w:val="24"/>
        </w:rPr>
        <w:t xml:space="preserve"> Moreover, two of the </w:t>
      </w:r>
      <w:r w:rsidR="00547BC4">
        <w:rPr>
          <w:rFonts w:ascii="Times New Roman" w:hAnsi="Times New Roman" w:cs="Times New Roman"/>
          <w:sz w:val="24"/>
          <w:szCs w:val="24"/>
        </w:rPr>
        <w:t xml:space="preserve">booms </w:t>
      </w:r>
      <w:r w:rsidR="003B170C">
        <w:rPr>
          <w:rFonts w:ascii="Times New Roman" w:hAnsi="Times New Roman" w:cs="Times New Roman"/>
          <w:sz w:val="24"/>
          <w:szCs w:val="24"/>
        </w:rPr>
        <w:t xml:space="preserve">affect </w:t>
      </w:r>
      <w:r w:rsidR="003B170C">
        <w:rPr>
          <w:rFonts w:ascii="Times New Roman" w:hAnsi="Times New Roman" w:cs="Times New Roman"/>
          <w:sz w:val="24"/>
          <w:szCs w:val="24"/>
        </w:rPr>
        <w:lastRenderedPageBreak/>
        <w:t xml:space="preserve">male earnings in the same geographic regions </w:t>
      </w:r>
      <w:r w:rsidR="00547BC4">
        <w:rPr>
          <w:rFonts w:ascii="Times New Roman" w:hAnsi="Times New Roman" w:cs="Times New Roman"/>
          <w:sz w:val="24"/>
          <w:szCs w:val="24"/>
        </w:rPr>
        <w:t xml:space="preserve">but </w:t>
      </w:r>
      <w:r w:rsidR="003B170C">
        <w:rPr>
          <w:rFonts w:ascii="Times New Roman" w:hAnsi="Times New Roman" w:cs="Times New Roman"/>
          <w:sz w:val="24"/>
          <w:szCs w:val="24"/>
        </w:rPr>
        <w:t xml:space="preserve">in opposite directions, </w:t>
      </w:r>
      <w:r w:rsidR="00547BC4">
        <w:rPr>
          <w:rFonts w:ascii="Times New Roman" w:hAnsi="Times New Roman" w:cs="Times New Roman"/>
          <w:sz w:val="24"/>
          <w:szCs w:val="24"/>
        </w:rPr>
        <w:t>making it possible to</w:t>
      </w:r>
      <w:r w:rsidR="000B5528">
        <w:rPr>
          <w:rFonts w:ascii="Times New Roman" w:hAnsi="Times New Roman" w:cs="Times New Roman"/>
          <w:sz w:val="24"/>
          <w:szCs w:val="24"/>
        </w:rPr>
        <w:t xml:space="preserve"> study how a positive and a negative shock affect outcomes in</w:t>
      </w:r>
      <w:r w:rsidR="00547BC4">
        <w:rPr>
          <w:rFonts w:ascii="Times New Roman" w:hAnsi="Times New Roman" w:cs="Times New Roman"/>
          <w:sz w:val="24"/>
          <w:szCs w:val="24"/>
        </w:rPr>
        <w:t>dependent</w:t>
      </w:r>
      <w:r w:rsidR="000B5528">
        <w:rPr>
          <w:rFonts w:ascii="Times New Roman" w:hAnsi="Times New Roman" w:cs="Times New Roman"/>
          <w:sz w:val="24"/>
          <w:szCs w:val="24"/>
        </w:rPr>
        <w:t xml:space="preserve"> </w:t>
      </w:r>
      <w:r w:rsidR="00547BC4">
        <w:rPr>
          <w:rFonts w:ascii="Times New Roman" w:hAnsi="Times New Roman" w:cs="Times New Roman"/>
          <w:sz w:val="24"/>
          <w:szCs w:val="24"/>
        </w:rPr>
        <w:t>of</w:t>
      </w:r>
      <w:r w:rsidR="00201A2E">
        <w:rPr>
          <w:rFonts w:ascii="Times New Roman" w:hAnsi="Times New Roman" w:cs="Times New Roman"/>
          <w:sz w:val="24"/>
          <w:szCs w:val="24"/>
        </w:rPr>
        <w:t xml:space="preserve"> location.</w:t>
      </w:r>
    </w:p>
    <w:p w14:paraId="7CA8B622" w14:textId="77777777" w:rsidR="00FB2803" w:rsidRDefault="00A31932" w:rsidP="00FB280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Figure 1</w:t>
      </w:r>
      <w:r w:rsidR="00284B51">
        <w:rPr>
          <w:rFonts w:ascii="Times New Roman" w:hAnsi="Times New Roman" w:cs="Times New Roman"/>
          <w:sz w:val="24"/>
          <w:szCs w:val="24"/>
        </w:rPr>
        <w:t>A</w:t>
      </w:r>
      <w:r>
        <w:rPr>
          <w:rFonts w:ascii="Times New Roman" w:hAnsi="Times New Roman" w:cs="Times New Roman"/>
          <w:sz w:val="24"/>
          <w:szCs w:val="24"/>
        </w:rPr>
        <w:t xml:space="preserve"> plots the evolution of the national Swedish price index for oats, wheat, butter</w:t>
      </w:r>
      <w:r w:rsidR="00547BC4">
        <w:rPr>
          <w:rFonts w:ascii="Times New Roman" w:hAnsi="Times New Roman" w:cs="Times New Roman"/>
          <w:sz w:val="24"/>
          <w:szCs w:val="24"/>
        </w:rPr>
        <w:t>,</w:t>
      </w:r>
      <w:r>
        <w:rPr>
          <w:rFonts w:ascii="Times New Roman" w:hAnsi="Times New Roman" w:cs="Times New Roman"/>
          <w:sz w:val="24"/>
          <w:szCs w:val="24"/>
        </w:rPr>
        <w:t xml:space="preserve"> and timber (</w:t>
      </w:r>
      <w:proofErr w:type="spellStart"/>
      <w:r w:rsidRPr="00EF2EB1">
        <w:rPr>
          <w:rFonts w:ascii="Times New Roman" w:hAnsi="Times New Roman" w:cs="Times New Roman"/>
          <w:sz w:val="24"/>
          <w:szCs w:val="24"/>
        </w:rPr>
        <w:t>Jörberg</w:t>
      </w:r>
      <w:proofErr w:type="spellEnd"/>
      <w:r>
        <w:rPr>
          <w:rFonts w:ascii="Times New Roman" w:hAnsi="Times New Roman" w:cs="Times New Roman"/>
          <w:sz w:val="24"/>
          <w:szCs w:val="24"/>
        </w:rPr>
        <w:t xml:space="preserve">, 1972) and the evolution of exports of </w:t>
      </w:r>
      <w:r w:rsidR="00C21792">
        <w:rPr>
          <w:rFonts w:ascii="Times New Roman" w:hAnsi="Times New Roman" w:cs="Times New Roman"/>
          <w:sz w:val="24"/>
          <w:szCs w:val="24"/>
        </w:rPr>
        <w:t>these</w:t>
      </w:r>
      <w:r>
        <w:rPr>
          <w:rFonts w:ascii="Times New Roman" w:hAnsi="Times New Roman" w:cs="Times New Roman"/>
          <w:sz w:val="24"/>
          <w:szCs w:val="24"/>
        </w:rPr>
        <w:t xml:space="preserve"> goods to Great Britain, Sweden’s main trading partner at the time (</w:t>
      </w:r>
      <w:proofErr w:type="spellStart"/>
      <w:r w:rsidR="00991141">
        <w:rPr>
          <w:rFonts w:ascii="Times New Roman" w:hAnsi="Times New Roman" w:cs="Times New Roman"/>
          <w:sz w:val="24"/>
          <w:szCs w:val="24"/>
        </w:rPr>
        <w:t>Fridlizius</w:t>
      </w:r>
      <w:proofErr w:type="spellEnd"/>
      <w:r w:rsidR="00991141">
        <w:rPr>
          <w:rFonts w:ascii="Times New Roman" w:hAnsi="Times New Roman" w:cs="Times New Roman"/>
          <w:sz w:val="24"/>
          <w:szCs w:val="24"/>
        </w:rPr>
        <w:t>, 1957</w:t>
      </w:r>
      <w:r>
        <w:rPr>
          <w:rFonts w:ascii="Times New Roman" w:hAnsi="Times New Roman" w:cs="Times New Roman"/>
          <w:sz w:val="24"/>
          <w:szCs w:val="24"/>
        </w:rPr>
        <w:t>). The shaded areas correspond to periods of exogenous export shocks as Great Britain changed its trade policies toward Sweden, primarily by removing tariff barriers.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The final plot shows the effects of the opening of grain trade with the U.S. in the 1880s, when cheap U.S. wheat started reaching European markets</w:t>
      </w:r>
      <w:r w:rsidR="00024104">
        <w:rPr>
          <w:rFonts w:ascii="Times New Roman" w:hAnsi="Times New Roman" w:cs="Times New Roman"/>
          <w:sz w:val="24"/>
          <w:szCs w:val="24"/>
        </w:rPr>
        <w:t xml:space="preserve"> (</w:t>
      </w:r>
      <w:proofErr w:type="spellStart"/>
      <w:r w:rsidR="00024104">
        <w:rPr>
          <w:rFonts w:ascii="Times New Roman" w:hAnsi="Times New Roman" w:cs="Times New Roman"/>
          <w:sz w:val="24"/>
          <w:szCs w:val="24"/>
        </w:rPr>
        <w:t>Heckscher</w:t>
      </w:r>
      <w:proofErr w:type="spellEnd"/>
      <w:r w:rsidR="00024104">
        <w:rPr>
          <w:rFonts w:ascii="Times New Roman" w:hAnsi="Times New Roman" w:cs="Times New Roman"/>
          <w:sz w:val="24"/>
          <w:szCs w:val="24"/>
        </w:rPr>
        <w:t>, 1954)</w:t>
      </w:r>
      <w:r>
        <w:rPr>
          <w:rFonts w:ascii="Times New Roman" w:hAnsi="Times New Roman" w:cs="Times New Roman"/>
          <w:sz w:val="24"/>
          <w:szCs w:val="24"/>
        </w:rPr>
        <w:t xml:space="preserve">.  </w:t>
      </w:r>
      <w:r w:rsidRPr="00745A7B">
        <w:rPr>
          <w:rFonts w:ascii="Times New Roman" w:hAnsi="Times New Roman" w:cs="Times New Roman"/>
          <w:sz w:val="24"/>
          <w:szCs w:val="24"/>
        </w:rPr>
        <w:t>The first oats shock led to a 70% increase in o</w:t>
      </w:r>
      <w:r>
        <w:rPr>
          <w:rFonts w:ascii="Times New Roman" w:hAnsi="Times New Roman" w:cs="Times New Roman"/>
          <w:sz w:val="24"/>
          <w:szCs w:val="24"/>
        </w:rPr>
        <w:t xml:space="preserve">ats’ prices over a 5-year period. Oats exports to Great Britain doubled during those 5 years. The second oats shock </w:t>
      </w:r>
      <w:r w:rsidR="005760B8">
        <w:rPr>
          <w:rFonts w:ascii="Times New Roman" w:hAnsi="Times New Roman" w:cs="Times New Roman"/>
          <w:sz w:val="24"/>
          <w:szCs w:val="24"/>
        </w:rPr>
        <w:t>raised</w:t>
      </w:r>
      <w:r>
        <w:rPr>
          <w:rFonts w:ascii="Times New Roman" w:hAnsi="Times New Roman" w:cs="Times New Roman"/>
          <w:sz w:val="24"/>
          <w:szCs w:val="24"/>
        </w:rPr>
        <w:t xml:space="preserve"> prices by 40%, while exports to Great Britain increased by 80% </w:t>
      </w:r>
      <w:r w:rsidR="005760B8">
        <w:rPr>
          <w:rFonts w:ascii="Times New Roman" w:hAnsi="Times New Roman" w:cs="Times New Roman"/>
          <w:sz w:val="24"/>
          <w:szCs w:val="24"/>
        </w:rPr>
        <w:t>in</w:t>
      </w:r>
      <w:r>
        <w:rPr>
          <w:rFonts w:ascii="Times New Roman" w:hAnsi="Times New Roman" w:cs="Times New Roman"/>
          <w:sz w:val="24"/>
          <w:szCs w:val="24"/>
        </w:rPr>
        <w:t xml:space="preserve"> the same period. The two timber </w:t>
      </w:r>
      <w:r w:rsidR="00284B51">
        <w:rPr>
          <w:rFonts w:ascii="Times New Roman" w:hAnsi="Times New Roman" w:cs="Times New Roman"/>
          <w:sz w:val="24"/>
          <w:szCs w:val="24"/>
        </w:rPr>
        <w:t>booms</w:t>
      </w:r>
      <w:r>
        <w:rPr>
          <w:rFonts w:ascii="Times New Roman" w:hAnsi="Times New Roman" w:cs="Times New Roman"/>
          <w:sz w:val="24"/>
          <w:szCs w:val="24"/>
        </w:rPr>
        <w:t xml:space="preserve"> had similar effects: the national </w:t>
      </w:r>
      <w:r w:rsidR="00547BC4">
        <w:rPr>
          <w:rFonts w:ascii="Times New Roman" w:hAnsi="Times New Roman" w:cs="Times New Roman"/>
          <w:sz w:val="24"/>
          <w:szCs w:val="24"/>
        </w:rPr>
        <w:t xml:space="preserve">price </w:t>
      </w:r>
      <w:r>
        <w:rPr>
          <w:rFonts w:ascii="Times New Roman" w:hAnsi="Times New Roman" w:cs="Times New Roman"/>
          <w:sz w:val="24"/>
          <w:szCs w:val="24"/>
        </w:rPr>
        <w:t>index increased by 40% and 67%, while exports rose by 200% and 55%, respectively. Wheat and butter prices and exports experienced similar changes, yet butter is notable because pre-1860 Sweden did not export any butter. The right vertical scale in Figure 1 shows the tremendous growth in butter exports in the second part of the 19</w:t>
      </w:r>
      <w:r w:rsidR="00284B51">
        <w:rPr>
          <w:rFonts w:ascii="Times New Roman" w:hAnsi="Times New Roman" w:cs="Times New Roman"/>
          <w:sz w:val="24"/>
          <w:szCs w:val="24"/>
        </w:rPr>
        <w:t xml:space="preserve">th </w:t>
      </w:r>
      <w:r w:rsidR="00201A2E">
        <w:rPr>
          <w:rFonts w:ascii="Times New Roman" w:hAnsi="Times New Roman" w:cs="Times New Roman"/>
          <w:sz w:val="24"/>
          <w:szCs w:val="24"/>
        </w:rPr>
        <w:t>century.</w:t>
      </w:r>
      <w:r w:rsidR="00FB2803">
        <w:rPr>
          <w:rFonts w:ascii="Times New Roman" w:hAnsi="Times New Roman" w:cs="Times New Roman"/>
          <w:sz w:val="24"/>
          <w:szCs w:val="24"/>
        </w:rPr>
        <w:t xml:space="preserve"> </w:t>
      </w:r>
    </w:p>
    <w:p w14:paraId="5DBF8A48" w14:textId="5E9081FF" w:rsidR="00C86F9C" w:rsidRDefault="00A31932" w:rsidP="0092480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Our</w:t>
      </w:r>
      <w:r w:rsidRPr="00CF0445">
        <w:rPr>
          <w:rFonts w:ascii="Times New Roman" w:hAnsi="Times New Roman" w:cs="Times New Roman"/>
          <w:sz w:val="24"/>
          <w:szCs w:val="24"/>
        </w:rPr>
        <w:t xml:space="preserve"> data</w:t>
      </w:r>
      <w:r>
        <w:rPr>
          <w:rFonts w:ascii="Times New Roman" w:hAnsi="Times New Roman" w:cs="Times New Roman"/>
          <w:sz w:val="24"/>
          <w:szCs w:val="24"/>
        </w:rPr>
        <w:t>set</w:t>
      </w:r>
      <w:r w:rsidRPr="00CF0445">
        <w:rPr>
          <w:rFonts w:ascii="Times New Roman" w:hAnsi="Times New Roman" w:cs="Times New Roman"/>
          <w:sz w:val="24"/>
          <w:szCs w:val="24"/>
        </w:rPr>
        <w:t xml:space="preserve"> comprise a number of parishes from several regions.</w:t>
      </w:r>
      <w:r w:rsidR="00284B51">
        <w:rPr>
          <w:rStyle w:val="FootnoteReference"/>
          <w:rFonts w:ascii="Times New Roman" w:hAnsi="Times New Roman" w:cs="Times New Roman"/>
          <w:sz w:val="24"/>
          <w:szCs w:val="24"/>
        </w:rPr>
        <w:footnoteReference w:id="3"/>
      </w:r>
      <w:r w:rsidRPr="00CF0445">
        <w:rPr>
          <w:rFonts w:ascii="Times New Roman" w:hAnsi="Times New Roman" w:cs="Times New Roman"/>
          <w:sz w:val="24"/>
          <w:szCs w:val="24"/>
        </w:rPr>
        <w:t xml:space="preserve"> </w:t>
      </w:r>
      <w:r>
        <w:rPr>
          <w:rFonts w:ascii="Times New Roman" w:hAnsi="Times New Roman" w:cs="Times New Roman"/>
          <w:sz w:val="24"/>
          <w:szCs w:val="24"/>
        </w:rPr>
        <w:t>These parishes were not affected by the rise in textile and food processing industries in the latter part of the 19</w:t>
      </w:r>
      <w:r w:rsidR="00040365">
        <w:rPr>
          <w:rFonts w:ascii="Times New Roman" w:hAnsi="Times New Roman" w:cs="Times New Roman"/>
          <w:sz w:val="24"/>
          <w:szCs w:val="24"/>
        </w:rPr>
        <w:t xml:space="preserve">th </w:t>
      </w:r>
      <w:r>
        <w:rPr>
          <w:rFonts w:ascii="Times New Roman" w:hAnsi="Times New Roman" w:cs="Times New Roman"/>
          <w:sz w:val="24"/>
          <w:szCs w:val="24"/>
        </w:rPr>
        <w:t>century, which provided outside opportunities for women not employed in the agricultural sector (Schultz, 1985). Th</w:t>
      </w:r>
      <w:r w:rsidR="004C1AB9">
        <w:rPr>
          <w:rFonts w:ascii="Times New Roman" w:hAnsi="Times New Roman" w:cs="Times New Roman"/>
          <w:sz w:val="24"/>
          <w:szCs w:val="24"/>
        </w:rPr>
        <w:t>erefore</w:t>
      </w:r>
      <w:r>
        <w:rPr>
          <w:rFonts w:ascii="Times New Roman" w:hAnsi="Times New Roman" w:cs="Times New Roman"/>
          <w:sz w:val="24"/>
          <w:szCs w:val="24"/>
        </w:rPr>
        <w:t xml:space="preserve">, to the extent that there was </w:t>
      </w:r>
      <w:r w:rsidR="004C1AB9">
        <w:rPr>
          <w:rFonts w:ascii="Times New Roman" w:hAnsi="Times New Roman" w:cs="Times New Roman"/>
          <w:sz w:val="24"/>
          <w:szCs w:val="24"/>
        </w:rPr>
        <w:t>negligible</w:t>
      </w:r>
      <w:r>
        <w:rPr>
          <w:rFonts w:ascii="Times New Roman" w:hAnsi="Times New Roman" w:cs="Times New Roman"/>
          <w:sz w:val="24"/>
          <w:szCs w:val="24"/>
        </w:rPr>
        <w:t xml:space="preserve"> mobility </w:t>
      </w:r>
      <w:r w:rsidR="004C1AB9">
        <w:rPr>
          <w:rFonts w:ascii="Times New Roman" w:hAnsi="Times New Roman" w:cs="Times New Roman"/>
          <w:sz w:val="24"/>
          <w:szCs w:val="24"/>
        </w:rPr>
        <w:t xml:space="preserve">to the nascent </w:t>
      </w:r>
      <w:r w:rsidR="004C1AB9">
        <w:rPr>
          <w:rFonts w:ascii="Times New Roman" w:hAnsi="Times New Roman" w:cs="Times New Roman"/>
          <w:sz w:val="24"/>
          <w:szCs w:val="24"/>
        </w:rPr>
        <w:lastRenderedPageBreak/>
        <w:t xml:space="preserve">Swedish manufacturing sector in the cities of Stockholm, Gothenburg </w:t>
      </w:r>
      <w:r w:rsidR="004C1AB9">
        <w:rPr>
          <w:rFonts w:ascii="Times New Roman" w:hAnsi="Times New Roman" w:cs="Times New Roman"/>
          <w:sz w:val="24"/>
          <w:szCs w:val="24"/>
        </w:rPr>
        <w:t>and Malmö</w:t>
      </w:r>
      <w:r w:rsidR="004C1AB9">
        <w:rPr>
          <w:rFonts w:ascii="Times New Roman" w:hAnsi="Times New Roman" w:cs="Times New Roman"/>
          <w:sz w:val="24"/>
          <w:szCs w:val="24"/>
        </w:rPr>
        <w:t>,</w:t>
      </w:r>
      <w:r>
        <w:rPr>
          <w:rFonts w:ascii="Times New Roman" w:hAnsi="Times New Roman" w:cs="Times New Roman"/>
          <w:sz w:val="24"/>
          <w:szCs w:val="24"/>
        </w:rPr>
        <w:t xml:space="preserve"> </w:t>
      </w:r>
      <w:r w:rsidR="004C1AB9">
        <w:rPr>
          <w:rFonts w:ascii="Times New Roman" w:hAnsi="Times New Roman" w:cs="Times New Roman"/>
          <w:sz w:val="24"/>
          <w:szCs w:val="24"/>
        </w:rPr>
        <w:t xml:space="preserve">our </w:t>
      </w:r>
      <w:r>
        <w:rPr>
          <w:rFonts w:ascii="Times New Roman" w:hAnsi="Times New Roman" w:cs="Times New Roman"/>
          <w:sz w:val="24"/>
          <w:szCs w:val="24"/>
        </w:rPr>
        <w:t xml:space="preserve">results are robust to changes in the </w:t>
      </w:r>
      <w:r w:rsidR="004C1AB9">
        <w:rPr>
          <w:rFonts w:ascii="Times New Roman" w:hAnsi="Times New Roman" w:cs="Times New Roman"/>
          <w:sz w:val="24"/>
          <w:szCs w:val="24"/>
        </w:rPr>
        <w:t xml:space="preserve">outside </w:t>
      </w:r>
      <w:r>
        <w:rPr>
          <w:rFonts w:ascii="Times New Roman" w:hAnsi="Times New Roman" w:cs="Times New Roman"/>
          <w:sz w:val="24"/>
          <w:szCs w:val="24"/>
        </w:rPr>
        <w:t>female wage.</w:t>
      </w:r>
      <w:r w:rsidR="009C0ED4">
        <w:rPr>
          <w:rStyle w:val="FootnoteReference"/>
          <w:rFonts w:ascii="Times New Roman" w:hAnsi="Times New Roman" w:cs="Times New Roman"/>
          <w:sz w:val="24"/>
          <w:szCs w:val="24"/>
        </w:rPr>
        <w:footnoteReference w:id="4"/>
      </w:r>
      <w:r w:rsidR="00E834E1">
        <w:rPr>
          <w:rFonts w:ascii="Times New Roman" w:hAnsi="Times New Roman" w:cs="Times New Roman"/>
          <w:sz w:val="24"/>
          <w:szCs w:val="24"/>
        </w:rPr>
        <w:t xml:space="preserve"> </w:t>
      </w:r>
      <w:r w:rsidR="004C1AB9">
        <w:rPr>
          <w:rFonts w:ascii="Times New Roman" w:hAnsi="Times New Roman" w:cs="Times New Roman"/>
          <w:sz w:val="24"/>
          <w:szCs w:val="24"/>
        </w:rPr>
        <w:t xml:space="preserve">  </w:t>
      </w:r>
    </w:p>
    <w:p w14:paraId="3BE24FE4" w14:textId="432AD4F0" w:rsidR="00A31932" w:rsidRPr="004C1AB9" w:rsidRDefault="00A31932" w:rsidP="00C86F9C">
      <w:pPr>
        <w:spacing w:after="0" w:line="360" w:lineRule="auto"/>
        <w:jc w:val="both"/>
        <w:rPr>
          <w:rFonts w:ascii="Times New Roman" w:hAnsi="Times New Roman" w:cs="Times New Roman"/>
          <w:sz w:val="24"/>
          <w:szCs w:val="24"/>
        </w:rPr>
      </w:pPr>
      <w:r w:rsidRPr="00531C9D">
        <w:rPr>
          <w:rFonts w:ascii="Times New Roman" w:hAnsi="Times New Roman" w:cs="Times New Roman"/>
          <w:sz w:val="24"/>
          <w:szCs w:val="24"/>
          <w:u w:val="single"/>
        </w:rPr>
        <w:t>Data and empirical strategy</w:t>
      </w:r>
    </w:p>
    <w:p w14:paraId="5B57588D" w14:textId="77777777" w:rsidR="00040365" w:rsidRDefault="00A31932" w:rsidP="00D37AB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historic parish data are organized at the individual level and include all</w:t>
      </w:r>
      <w:r w:rsidRPr="007B53D2">
        <w:rPr>
          <w:rFonts w:ascii="Times New Roman" w:hAnsi="Times New Roman" w:cs="Times New Roman"/>
          <w:sz w:val="24"/>
          <w:szCs w:val="24"/>
        </w:rPr>
        <w:t xml:space="preserve"> individuals</w:t>
      </w:r>
      <w:r>
        <w:rPr>
          <w:rFonts w:ascii="Times New Roman" w:hAnsi="Times New Roman" w:cs="Times New Roman"/>
          <w:sz w:val="24"/>
          <w:szCs w:val="24"/>
        </w:rPr>
        <w:t xml:space="preserve"> </w:t>
      </w:r>
      <w:r w:rsidRPr="007B53D2">
        <w:rPr>
          <w:rFonts w:ascii="Times New Roman" w:hAnsi="Times New Roman" w:cs="Times New Roman"/>
          <w:sz w:val="24"/>
          <w:szCs w:val="24"/>
        </w:rPr>
        <w:t xml:space="preserve">who resided for more than a year in the </w:t>
      </w:r>
      <w:r w:rsidR="00C21792">
        <w:rPr>
          <w:rFonts w:ascii="Times New Roman" w:hAnsi="Times New Roman" w:cs="Times New Roman"/>
          <w:sz w:val="24"/>
          <w:szCs w:val="24"/>
        </w:rPr>
        <w:t>37 parishes</w:t>
      </w:r>
      <w:r w:rsidRPr="007B53D2">
        <w:rPr>
          <w:rFonts w:ascii="Times New Roman" w:hAnsi="Times New Roman" w:cs="Times New Roman"/>
          <w:sz w:val="24"/>
          <w:szCs w:val="24"/>
        </w:rPr>
        <w:t xml:space="preserve"> born between 1810 and 1890</w:t>
      </w:r>
      <w:r>
        <w:rPr>
          <w:rFonts w:ascii="Times New Roman" w:hAnsi="Times New Roman" w:cs="Times New Roman"/>
          <w:sz w:val="24"/>
          <w:szCs w:val="24"/>
        </w:rPr>
        <w:t xml:space="preserve"> and their offspring</w:t>
      </w:r>
      <w:r w:rsidRPr="007B53D2">
        <w:rPr>
          <w:rFonts w:ascii="Times New Roman" w:hAnsi="Times New Roman" w:cs="Times New Roman"/>
          <w:sz w:val="24"/>
          <w:szCs w:val="24"/>
        </w:rPr>
        <w:t xml:space="preserve">. </w:t>
      </w:r>
      <w:r>
        <w:rPr>
          <w:rFonts w:ascii="Times New Roman" w:hAnsi="Times New Roman" w:cs="Times New Roman"/>
          <w:sz w:val="24"/>
          <w:szCs w:val="24"/>
        </w:rPr>
        <w:t>Parish books record individuals’ dates of birth and death, all marriages, the birth dates for all children, their genders and parity, as well as stillbirths. Inoculation against small pox became compulsory in Sweden starting 1816 and priests were charged with keeping track of who was inoculated (</w:t>
      </w:r>
      <w:proofErr w:type="spellStart"/>
      <w:r>
        <w:rPr>
          <w:rFonts w:ascii="Times New Roman" w:hAnsi="Times New Roman" w:cs="Times New Roman"/>
          <w:sz w:val="24"/>
          <w:szCs w:val="24"/>
        </w:rPr>
        <w:t>Sköld</w:t>
      </w:r>
      <w:proofErr w:type="spellEnd"/>
      <w:r>
        <w:rPr>
          <w:rFonts w:ascii="Times New Roman" w:hAnsi="Times New Roman" w:cs="Times New Roman"/>
          <w:sz w:val="24"/>
          <w:szCs w:val="24"/>
        </w:rPr>
        <w:t>, 1996). The parish books record vaccination status for all children.</w:t>
      </w:r>
      <w:r w:rsidR="00040365">
        <w:rPr>
          <w:rFonts w:ascii="Times New Roman" w:hAnsi="Times New Roman" w:cs="Times New Roman"/>
          <w:sz w:val="24"/>
          <w:szCs w:val="24"/>
        </w:rPr>
        <w:t xml:space="preserve"> </w:t>
      </w:r>
      <w:r w:rsidR="00C21792">
        <w:rPr>
          <w:rFonts w:ascii="Times New Roman" w:hAnsi="Times New Roman" w:cs="Times New Roman"/>
          <w:sz w:val="24"/>
          <w:szCs w:val="24"/>
        </w:rPr>
        <w:t xml:space="preserve">A </w:t>
      </w:r>
      <w:r>
        <w:rPr>
          <w:rFonts w:ascii="Times New Roman" w:hAnsi="Times New Roman" w:cs="Times New Roman"/>
          <w:sz w:val="24"/>
          <w:szCs w:val="24"/>
        </w:rPr>
        <w:t xml:space="preserve">unique personal ID allows us to link spouses, as well children to their siblings, parents, and grandparents. In total, the sample comprises 250,229 individuals at birth, 126,591 men and 123,638 women. Some of them die before age 5 (5,834 boys and 5,322 girls) and these numbers double by the age of 20 (10,825 males and 9,706 females). These individuals are excluded from the long-term </w:t>
      </w:r>
      <w:r w:rsidR="00040365">
        <w:rPr>
          <w:rFonts w:ascii="Times New Roman" w:hAnsi="Times New Roman" w:cs="Times New Roman"/>
          <w:sz w:val="24"/>
          <w:szCs w:val="24"/>
        </w:rPr>
        <w:t>and intergenerational analyses.</w:t>
      </w:r>
    </w:p>
    <w:p w14:paraId="0BE4A669" w14:textId="31089F90" w:rsidR="00040365" w:rsidRDefault="00A31932" w:rsidP="00D37AB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first two columns of Table 1 show descriptive statistics of </w:t>
      </w:r>
      <w:r w:rsidR="00C21792">
        <w:rPr>
          <w:rFonts w:ascii="Times New Roman" w:hAnsi="Times New Roman" w:cs="Times New Roman"/>
          <w:sz w:val="24"/>
          <w:szCs w:val="24"/>
        </w:rPr>
        <w:t xml:space="preserve">the </w:t>
      </w:r>
      <w:r>
        <w:rPr>
          <w:rFonts w:ascii="Times New Roman" w:hAnsi="Times New Roman" w:cs="Times New Roman"/>
          <w:sz w:val="24"/>
          <w:szCs w:val="24"/>
        </w:rPr>
        <w:t>main outcome variables for the full sample. A child death is defined as a death that occurs before the end of the child’s 5</w:t>
      </w:r>
      <w:r w:rsidRPr="00643F2D">
        <w:rPr>
          <w:rFonts w:ascii="Times New Roman" w:hAnsi="Times New Roman" w:cs="Times New Roman"/>
          <w:sz w:val="24"/>
          <w:szCs w:val="24"/>
          <w:vertAlign w:val="superscript"/>
        </w:rPr>
        <w:t>th</w:t>
      </w:r>
      <w:r>
        <w:rPr>
          <w:rFonts w:ascii="Times New Roman" w:hAnsi="Times New Roman" w:cs="Times New Roman"/>
          <w:sz w:val="24"/>
          <w:szCs w:val="24"/>
        </w:rPr>
        <w:t xml:space="preserve"> year – there are 4.5</w:t>
      </w:r>
      <w:r w:rsidR="00C21792">
        <w:rPr>
          <w:rFonts w:ascii="Times New Roman" w:hAnsi="Times New Roman" w:cs="Times New Roman"/>
          <w:sz w:val="24"/>
          <w:szCs w:val="24"/>
        </w:rPr>
        <w:t xml:space="preserve"> such</w:t>
      </w:r>
      <w:r>
        <w:rPr>
          <w:rFonts w:ascii="Times New Roman" w:hAnsi="Times New Roman" w:cs="Times New Roman"/>
          <w:sz w:val="24"/>
          <w:szCs w:val="24"/>
        </w:rPr>
        <w:t xml:space="preserve"> deaths per hundred live born children. The illegitimacy rate is slightly higher at 4.8 per hundred children. The smallpox vaccination rate is over 90%, suggesting that the compulsory mandate to vaccinate all infants was successful. The marriage rate of 0.51 is identical to the Swedish average </w:t>
      </w:r>
      <w:r w:rsidR="00C21792">
        <w:rPr>
          <w:rFonts w:ascii="Times New Roman" w:hAnsi="Times New Roman" w:cs="Times New Roman"/>
          <w:sz w:val="24"/>
          <w:szCs w:val="24"/>
        </w:rPr>
        <w:t>at the time</w:t>
      </w:r>
      <w:r>
        <w:rPr>
          <w:rFonts w:ascii="Times New Roman" w:hAnsi="Times New Roman" w:cs="Times New Roman"/>
          <w:sz w:val="24"/>
          <w:szCs w:val="24"/>
        </w:rPr>
        <w:t xml:space="preserve"> (National Bureau of Statistics, 1969</w:t>
      </w:r>
      <w:r w:rsidR="00E4260E">
        <w:rPr>
          <w:rFonts w:ascii="Times New Roman" w:hAnsi="Times New Roman" w:cs="Times New Roman"/>
          <w:sz w:val="24"/>
          <w:szCs w:val="24"/>
        </w:rPr>
        <w:t xml:space="preserve">). The </w:t>
      </w:r>
      <w:r>
        <w:rPr>
          <w:rFonts w:ascii="Times New Roman" w:hAnsi="Times New Roman" w:cs="Times New Roman"/>
          <w:sz w:val="24"/>
          <w:szCs w:val="24"/>
        </w:rPr>
        <w:t xml:space="preserve">age at first marriage and childbearing are </w:t>
      </w:r>
      <w:r w:rsidR="00E4260E">
        <w:rPr>
          <w:rFonts w:ascii="Times New Roman" w:hAnsi="Times New Roman" w:cs="Times New Roman"/>
          <w:sz w:val="24"/>
          <w:szCs w:val="24"/>
        </w:rPr>
        <w:t xml:space="preserve">also </w:t>
      </w:r>
      <w:r w:rsidR="00040365">
        <w:rPr>
          <w:rFonts w:ascii="Times New Roman" w:hAnsi="Times New Roman" w:cs="Times New Roman"/>
          <w:sz w:val="24"/>
          <w:szCs w:val="24"/>
        </w:rPr>
        <w:t xml:space="preserve">representative for the period. </w:t>
      </w:r>
      <w:r w:rsidRPr="00AF0547">
        <w:rPr>
          <w:rFonts w:ascii="Times New Roman" w:hAnsi="Times New Roman" w:cs="Times New Roman"/>
          <w:sz w:val="24"/>
          <w:szCs w:val="24"/>
        </w:rPr>
        <w:t xml:space="preserve">We use soil suitability data from version 3.0 of the Global Agro-Ecological Zones (GAEZ) database (IIASA/FAO, 2012) that we merge with our parish data using GIS. The GAEZ project makes predictions about potential </w:t>
      </w:r>
      <w:r w:rsidRPr="00AF0547">
        <w:rPr>
          <w:rFonts w:ascii="Times New Roman" w:hAnsi="Times New Roman" w:cs="Times New Roman"/>
          <w:sz w:val="24"/>
          <w:szCs w:val="24"/>
        </w:rPr>
        <w:lastRenderedPageBreak/>
        <w:t xml:space="preserve">agricultural yields for a given crop in a given location for all the major crop groups. It combines data on soil characteristics, water availability, topography, and climate to predict the productivity of each </w:t>
      </w:r>
      <w:r>
        <w:rPr>
          <w:rFonts w:ascii="Times New Roman" w:hAnsi="Times New Roman" w:cs="Times New Roman"/>
          <w:sz w:val="24"/>
          <w:szCs w:val="24"/>
        </w:rPr>
        <w:t>distinct crop in each location</w:t>
      </w:r>
      <w:r w:rsidR="00E4260E" w:rsidRPr="00E4260E">
        <w:rPr>
          <w:rFonts w:ascii="Times New Roman" w:hAnsi="Times New Roman" w:cs="Times New Roman"/>
          <w:sz w:val="24"/>
          <w:szCs w:val="24"/>
        </w:rPr>
        <w:t xml:space="preserve"> </w:t>
      </w:r>
      <w:r w:rsidR="00FB2803">
        <w:rPr>
          <w:rFonts w:ascii="Times New Roman" w:hAnsi="Times New Roman" w:cs="Times New Roman"/>
          <w:sz w:val="24"/>
          <w:szCs w:val="24"/>
        </w:rPr>
        <w:t>across</w:t>
      </w:r>
      <w:r w:rsidR="00E4260E" w:rsidRPr="00AF0547">
        <w:rPr>
          <w:rFonts w:ascii="Times New Roman" w:hAnsi="Times New Roman" w:cs="Times New Roman"/>
          <w:sz w:val="24"/>
          <w:szCs w:val="24"/>
        </w:rPr>
        <w:t xml:space="preserve"> the world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00775ACD">
        <w:rPr>
          <w:rFonts w:ascii="Times New Roman" w:hAnsi="Times New Roman" w:cs="Times New Roman"/>
          <w:sz w:val="24"/>
          <w:szCs w:val="24"/>
        </w:rPr>
        <w:t xml:space="preserve"> </w:t>
      </w:r>
      <w:r w:rsidRPr="00AF0547">
        <w:rPr>
          <w:rFonts w:ascii="Times New Roman" w:hAnsi="Times New Roman" w:cs="Times New Roman"/>
          <w:sz w:val="24"/>
          <w:szCs w:val="24"/>
        </w:rPr>
        <w:t xml:space="preserve">The parishes are divided into three categories based on the predicted soil suitability for the production of grains such as oats and wheat: completely unsuitable, somewhat suitable, and suitable. About one quarter of the observations come from areas completely unsuitable for grains, another 34 percent are from somewhat suitable areas, and the rest are from regions </w:t>
      </w:r>
      <w:r w:rsidR="00C21792">
        <w:rPr>
          <w:rFonts w:ascii="Times New Roman" w:hAnsi="Times New Roman" w:cs="Times New Roman"/>
          <w:sz w:val="24"/>
          <w:szCs w:val="24"/>
        </w:rPr>
        <w:t>favorable to growing grains</w:t>
      </w:r>
      <w:r w:rsidRPr="00AF0547">
        <w:rPr>
          <w:rFonts w:ascii="Times New Roman" w:hAnsi="Times New Roman" w:cs="Times New Roman"/>
          <w:sz w:val="24"/>
          <w:szCs w:val="24"/>
        </w:rPr>
        <w:t xml:space="preserve">. Similarly, parishes are divided into suitable for logging and related activities if forests cover more than </w:t>
      </w:r>
      <w:r w:rsidR="00FB2803">
        <w:rPr>
          <w:rFonts w:ascii="Times New Roman" w:hAnsi="Times New Roman" w:cs="Times New Roman"/>
          <w:sz w:val="24"/>
          <w:szCs w:val="24"/>
        </w:rPr>
        <w:t>half</w:t>
      </w:r>
      <w:r w:rsidRPr="00AF0547">
        <w:rPr>
          <w:rFonts w:ascii="Times New Roman" w:hAnsi="Times New Roman" w:cs="Times New Roman"/>
          <w:sz w:val="24"/>
          <w:szCs w:val="24"/>
        </w:rPr>
        <w:t xml:space="preserve"> of their area. We use the livestock variable in GAEZ to divide regions into those appropriate for producing dairy products. These comprise about </w:t>
      </w:r>
      <w:r w:rsidR="00C21792">
        <w:rPr>
          <w:rFonts w:ascii="Times New Roman" w:hAnsi="Times New Roman" w:cs="Times New Roman"/>
          <w:sz w:val="24"/>
          <w:szCs w:val="24"/>
        </w:rPr>
        <w:t>3</w:t>
      </w:r>
      <w:r w:rsidR="00C21792" w:rsidRPr="00AF0547">
        <w:rPr>
          <w:rFonts w:ascii="Times New Roman" w:hAnsi="Times New Roman" w:cs="Times New Roman"/>
          <w:sz w:val="24"/>
          <w:szCs w:val="24"/>
        </w:rPr>
        <w:t xml:space="preserve">0 </w:t>
      </w:r>
      <w:r w:rsidRPr="00AF0547">
        <w:rPr>
          <w:rFonts w:ascii="Times New Roman" w:hAnsi="Times New Roman" w:cs="Times New Roman"/>
          <w:sz w:val="24"/>
          <w:szCs w:val="24"/>
        </w:rPr>
        <w:t>percent of all individual observations.</w:t>
      </w:r>
      <w:r>
        <w:rPr>
          <w:rStyle w:val="FootnoteReference"/>
          <w:rFonts w:ascii="Times New Roman" w:hAnsi="Times New Roman" w:cs="Times New Roman"/>
          <w:sz w:val="24"/>
          <w:szCs w:val="24"/>
        </w:rPr>
        <w:footnoteReference w:id="6"/>
      </w:r>
    </w:p>
    <w:p w14:paraId="592D2557" w14:textId="5DD0D2F9" w:rsidR="00A31932" w:rsidRPr="007B53D2" w:rsidRDefault="00A31932" w:rsidP="00FB280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 1 presents descriptive statistics for the main demographic variables for the full dataset and by region of suitability for different agricultural production. The average child death rate and the illegitimacy rate are lowest in areas that are suitable for dairy production. The vaccination rate peaks in dairy-producing regions, and reaches its lowest level in forested areas.  The marriage rate is highest in forested areas, and lowest in dairy-suitable areas. Regional differences in the age at first marriage and childbearing are small. </w:t>
      </w:r>
      <w:r w:rsidR="00CB167A">
        <w:rPr>
          <w:rFonts w:ascii="Times New Roman" w:hAnsi="Times New Roman" w:cs="Times New Roman"/>
          <w:sz w:val="24"/>
          <w:szCs w:val="24"/>
        </w:rPr>
        <w:t>Child</w:t>
      </w:r>
      <w:r>
        <w:rPr>
          <w:rFonts w:ascii="Times New Roman" w:hAnsi="Times New Roman" w:cs="Times New Roman"/>
          <w:sz w:val="24"/>
          <w:szCs w:val="24"/>
        </w:rPr>
        <w:t xml:space="preserve"> health was best in areas where the geographical conditions are favorable to agricultural activities traditionally assigned to women and worst in areas that specialized in </w:t>
      </w:r>
      <w:r w:rsidR="00040365">
        <w:rPr>
          <w:rFonts w:ascii="Times New Roman" w:hAnsi="Times New Roman" w:cs="Times New Roman"/>
          <w:sz w:val="24"/>
          <w:szCs w:val="24"/>
        </w:rPr>
        <w:t xml:space="preserve">male-dominated activities. </w:t>
      </w:r>
      <w:r>
        <w:rPr>
          <w:rFonts w:ascii="Times New Roman" w:hAnsi="Times New Roman" w:cs="Times New Roman"/>
          <w:sz w:val="24"/>
          <w:szCs w:val="24"/>
        </w:rPr>
        <w:t>In the empirical analysis we exploit changes in the returns to female- or male-specific activities within these regions and control for any region-specific time-in</w:t>
      </w:r>
      <w:r w:rsidR="00201A2E">
        <w:rPr>
          <w:rFonts w:ascii="Times New Roman" w:hAnsi="Times New Roman" w:cs="Times New Roman"/>
          <w:sz w:val="24"/>
          <w:szCs w:val="24"/>
        </w:rPr>
        <w:t>variant characteristics.</w:t>
      </w:r>
    </w:p>
    <w:p w14:paraId="33FE696D" w14:textId="77777777" w:rsidR="00A31932" w:rsidRDefault="00A31932" w:rsidP="00040127">
      <w:pPr>
        <w:spacing w:after="0" w:line="480" w:lineRule="auto"/>
        <w:ind w:firstLine="720"/>
        <w:jc w:val="both"/>
        <w:rPr>
          <w:rFonts w:ascii="Times New Roman" w:hAnsi="Times New Roman" w:cs="Times New Roman"/>
          <w:sz w:val="24"/>
          <w:szCs w:val="24"/>
        </w:rPr>
      </w:pPr>
      <w:r w:rsidRPr="000E5DE8">
        <w:rPr>
          <w:rFonts w:ascii="Times New Roman" w:hAnsi="Times New Roman" w:cs="Times New Roman"/>
          <w:sz w:val="24"/>
          <w:szCs w:val="24"/>
        </w:rPr>
        <w:lastRenderedPageBreak/>
        <w:t xml:space="preserve">Our empirical strategy is a difference-in-differences estimation across parishes and time that compares outcomes in parishes with suitable conditions for producing the crop affected by the export shock to those with unsuitable conditions, before and after </w:t>
      </w:r>
      <w:r>
        <w:rPr>
          <w:rFonts w:ascii="Times New Roman" w:hAnsi="Times New Roman" w:cs="Times New Roman"/>
          <w:sz w:val="24"/>
          <w:szCs w:val="24"/>
        </w:rPr>
        <w:t xml:space="preserve">the </w:t>
      </w:r>
      <w:r w:rsidRPr="000E5DE8">
        <w:rPr>
          <w:rFonts w:ascii="Times New Roman" w:hAnsi="Times New Roman" w:cs="Times New Roman"/>
          <w:sz w:val="24"/>
          <w:szCs w:val="24"/>
        </w:rPr>
        <w:t>shock.</w:t>
      </w:r>
      <w:r>
        <w:rPr>
          <w:rFonts w:ascii="Times New Roman" w:hAnsi="Times New Roman" w:cs="Times New Roman"/>
          <w:sz w:val="24"/>
          <w:szCs w:val="24"/>
        </w:rPr>
        <w:t xml:space="preserve"> Specifically:</w:t>
      </w:r>
    </w:p>
    <w:p w14:paraId="421F46E0" w14:textId="242DE5CC" w:rsidR="00A31932" w:rsidRPr="00767608" w:rsidRDefault="00A4174B" w:rsidP="00A31932">
      <w:pPr>
        <w:spacing w:after="0" w:line="48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ijt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λExport_Shock</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r</m:t>
              </m:r>
            </m:sub>
          </m:s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βX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ijt</m:t>
              </m:r>
            </m:sub>
          </m:sSub>
          <m:r>
            <w:rPr>
              <w:rFonts w:ascii="Cambria Math" w:hAnsi="Cambria Math" w:cs="Times New Roman"/>
              <w:sz w:val="24"/>
              <w:szCs w:val="24"/>
            </w:rPr>
            <m:t>,</m:t>
          </m:r>
        </m:oMath>
      </m:oMathPara>
    </w:p>
    <w:p w14:paraId="44EED5C4" w14:textId="5BDDCAA4" w:rsidR="00A31932" w:rsidRDefault="00A31932" w:rsidP="00A3193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j</m:t>
            </m:r>
          </m:sub>
        </m:sSub>
      </m:oMath>
      <w:r>
        <w:rPr>
          <w:rFonts w:ascii="Times New Roman" w:eastAsiaTheme="minorEastAsia" w:hAnsi="Times New Roman" w:cs="Times New Roman"/>
          <w:sz w:val="24"/>
          <w:szCs w:val="24"/>
        </w:rPr>
        <w:t xml:space="preserve"> is an indicator for geographic suitability of parish </w:t>
      </w:r>
      <w:r w:rsidRPr="009F303F">
        <w:rPr>
          <w:rFonts w:ascii="Times New Roman" w:eastAsiaTheme="minorEastAsia" w:hAnsi="Times New Roman" w:cs="Times New Roman"/>
          <w:i/>
          <w:sz w:val="24"/>
          <w:szCs w:val="24"/>
        </w:rPr>
        <w:t>j</w:t>
      </w:r>
      <w:r>
        <w:rPr>
          <w:rFonts w:ascii="Times New Roman" w:eastAsiaTheme="minorEastAsia" w:hAnsi="Times New Roman" w:cs="Times New Roman"/>
          <w:sz w:val="24"/>
          <w:szCs w:val="24"/>
        </w:rPr>
        <w:t xml:space="preserve"> for producing the </w:t>
      </w:r>
      <w:r w:rsidR="00604796">
        <w:rPr>
          <w:rFonts w:ascii="Times New Roman" w:eastAsiaTheme="minorEastAsia" w:hAnsi="Times New Roman" w:cs="Times New Roman"/>
          <w:sz w:val="24"/>
          <w:szCs w:val="24"/>
        </w:rPr>
        <w:t xml:space="preserve">good </w:t>
      </w:r>
      <w:r>
        <w:rPr>
          <w:rFonts w:ascii="Times New Roman" w:eastAsiaTheme="minorEastAsia" w:hAnsi="Times New Roman" w:cs="Times New Roman"/>
          <w:sz w:val="24"/>
          <w:szCs w:val="24"/>
        </w:rPr>
        <w:t xml:space="preserve">that was affected by the shock at time </w:t>
      </w:r>
      <w:r w:rsidRPr="00910099">
        <w:rPr>
          <w:rFonts w:ascii="Times New Roman" w:eastAsiaTheme="minorEastAsia" w:hAnsi="Times New Roman" w:cs="Times New Roman"/>
          <w:i/>
          <w:sz w:val="24"/>
          <w:szCs w:val="24"/>
        </w:rPr>
        <w:t>t</w:t>
      </w: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j</m:t>
            </m:r>
          </m:sub>
        </m:sSub>
      </m:oMath>
      <w:r>
        <w:rPr>
          <w:rFonts w:ascii="Times New Roman" w:eastAsiaTheme="minorEastAsia" w:hAnsi="Times New Roman" w:cs="Times New Roman"/>
          <w:sz w:val="24"/>
          <w:szCs w:val="24"/>
        </w:rPr>
        <w:t xml:space="preserve"> a parish fixed effect, </w:t>
      </w:r>
      <m:oMath>
        <m:sSub>
          <m:sSubPr>
            <m:ctrlPr>
              <w:rPr>
                <w:rFonts w:ascii="Cambria Math" w:hAnsi="Cambria Math" w:cs="Times New Roman"/>
                <w:i/>
                <w:sz w:val="24"/>
                <w:szCs w:val="24"/>
              </w:rPr>
            </m:ctrlPr>
          </m:sSubPr>
          <m:e>
            <m:r>
              <w:rPr>
                <w:rFonts w:ascii="Cambria Math" w:hAnsi="Cambria Math" w:cs="Times New Roman"/>
                <w:sz w:val="24"/>
                <w:szCs w:val="24"/>
              </w:rPr>
              <m:t>τ</m:t>
            </m:r>
          </m:e>
          <m:sub>
            <m:r>
              <w:rPr>
                <w:rFonts w:ascii="Cambria Math" w:hAnsi="Cambria Math" w:cs="Times New Roman"/>
                <w:sz w:val="24"/>
                <w:szCs w:val="24"/>
              </w:rPr>
              <m:t>t</m:t>
            </m:r>
          </m:sub>
        </m:sSub>
      </m:oMath>
      <w:r>
        <w:rPr>
          <w:rFonts w:ascii="Times New Roman" w:eastAsiaTheme="minorEastAsia" w:hAnsi="Times New Roman" w:cs="Times New Roman"/>
          <w:sz w:val="24"/>
          <w:szCs w:val="24"/>
        </w:rPr>
        <w:t xml:space="preserve"> a cohort-specific dummy</w:t>
      </w:r>
      <w:r w:rsidR="00910099">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r</m:t>
            </m:r>
          </m:sub>
        </m:sSub>
        <m:r>
          <w:rPr>
            <w:rFonts w:ascii="Cambria Math" w:hAnsi="Cambria Math" w:cs="Times New Roman"/>
            <w:sz w:val="24"/>
            <w:szCs w:val="24"/>
          </w:rPr>
          <m:t>×t</m:t>
        </m:r>
      </m:oMath>
      <w:r w:rsidR="00910099">
        <w:rPr>
          <w:rFonts w:ascii="Times New Roman" w:eastAsiaTheme="minorEastAsia" w:hAnsi="Times New Roman" w:cs="Times New Roman"/>
          <w:sz w:val="24"/>
          <w:szCs w:val="24"/>
        </w:rPr>
        <w:t xml:space="preserve"> </w:t>
      </w:r>
      <w:r w:rsidR="00276F20">
        <w:rPr>
          <w:rFonts w:ascii="Times New Roman" w:eastAsiaTheme="minorEastAsia" w:hAnsi="Times New Roman" w:cs="Times New Roman"/>
          <w:sz w:val="24"/>
          <w:szCs w:val="24"/>
        </w:rPr>
        <w:t xml:space="preserve">is </w:t>
      </w:r>
      <w:r w:rsidR="00910099">
        <w:rPr>
          <w:rFonts w:ascii="Times New Roman" w:eastAsiaTheme="minorEastAsia" w:hAnsi="Times New Roman" w:cs="Times New Roman"/>
          <w:sz w:val="24"/>
          <w:szCs w:val="24"/>
        </w:rPr>
        <w:t xml:space="preserve">a region-specific time trend, and </w:t>
      </w:r>
      <w:r w:rsidRPr="00910099">
        <w:rPr>
          <w:rFonts w:ascii="Times New Roman" w:eastAsiaTheme="minorEastAsia" w:hAnsi="Times New Roman" w:cs="Times New Roman"/>
          <w:i/>
          <w:sz w:val="24"/>
          <w:szCs w:val="24"/>
        </w:rPr>
        <w:t>X</w:t>
      </w:r>
      <w:r w:rsidRPr="00910099">
        <w:rPr>
          <w:rFonts w:ascii="Times New Roman" w:eastAsiaTheme="minorEastAsia" w:hAnsi="Times New Roman" w:cs="Times New Roman"/>
          <w:i/>
          <w:sz w:val="24"/>
          <w:szCs w:val="24"/>
          <w:vertAlign w:val="subscript"/>
        </w:rPr>
        <w:t>i</w:t>
      </w:r>
      <w:r w:rsidR="00910099">
        <w:rPr>
          <w:rFonts w:ascii="Times New Roman" w:eastAsiaTheme="minorEastAsia" w:hAnsi="Times New Roman" w:cs="Times New Roman"/>
          <w:sz w:val="24"/>
          <w:szCs w:val="24"/>
        </w:rPr>
        <w:t xml:space="preserve"> the person’s gender.</w:t>
      </w:r>
      <w:r>
        <w:rPr>
          <w:rFonts w:ascii="Times New Roman" w:eastAsiaTheme="minorEastAsia" w:hAnsi="Times New Roman" w:cs="Times New Roman"/>
          <w:sz w:val="24"/>
          <w:szCs w:val="24"/>
        </w:rPr>
        <w:t xml:space="preserve"> </w:t>
      </w:r>
      <w:r w:rsidRPr="00894ADC">
        <w:rPr>
          <w:rFonts w:ascii="Times New Roman" w:eastAsiaTheme="minorEastAsia" w:hAnsi="Times New Roman" w:cs="Times New Roman"/>
          <w:sz w:val="24"/>
          <w:szCs w:val="24"/>
        </w:rPr>
        <w:t>Our hypothesis is that the shocks have a positive (negative) impact on goods valued (not valued) by the gender earning the extra income. For example, if women value children’s health we expect λ &gt; 0, while if men do not</w:t>
      </w:r>
      <w:r>
        <w:rPr>
          <w:rFonts w:ascii="Times New Roman" w:eastAsiaTheme="minorEastAsia" w:hAnsi="Times New Roman" w:cs="Times New Roman"/>
          <w:sz w:val="24"/>
          <w:szCs w:val="24"/>
        </w:rPr>
        <w:t>,</w:t>
      </w:r>
      <w:r w:rsidRPr="00894ADC">
        <w:rPr>
          <w:rFonts w:ascii="Times New Roman" w:eastAsiaTheme="minorEastAsia" w:hAnsi="Times New Roman" w:cs="Times New Roman"/>
          <w:sz w:val="24"/>
          <w:szCs w:val="24"/>
        </w:rPr>
        <w:t xml:space="preserve"> λ &lt; 0.</w:t>
      </w:r>
      <w:r w:rsidR="00775ACD">
        <w:rPr>
          <w:rFonts w:ascii="Times New Roman" w:eastAsiaTheme="minorEastAsia" w:hAnsi="Times New Roman" w:cs="Times New Roman"/>
          <w:sz w:val="24"/>
          <w:szCs w:val="24"/>
        </w:rPr>
        <w:t xml:space="preserve"> </w:t>
      </w:r>
      <w:r>
        <w:rPr>
          <w:rFonts w:ascii="Times New Roman" w:hAnsi="Times New Roman" w:cs="Times New Roman"/>
          <w:sz w:val="24"/>
          <w:szCs w:val="24"/>
        </w:rPr>
        <w:t>The identification does not depend on the assumption that women work only with livestock (and not in the fields) or that men do not work with dairy products. We will underestimat</w:t>
      </w:r>
      <w:r w:rsidR="00910099">
        <w:rPr>
          <w:rFonts w:ascii="Times New Roman" w:hAnsi="Times New Roman" w:cs="Times New Roman"/>
          <w:sz w:val="24"/>
          <w:szCs w:val="24"/>
        </w:rPr>
        <w:t>e</w:t>
      </w:r>
      <w:r>
        <w:rPr>
          <w:rFonts w:ascii="Times New Roman" w:hAnsi="Times New Roman" w:cs="Times New Roman"/>
          <w:sz w:val="24"/>
          <w:szCs w:val="24"/>
        </w:rPr>
        <w:t xml:space="preserve"> the effect of relative increases in earnings if, in fact, men were involved in women’s work and vice versa.</w:t>
      </w:r>
      <w:r w:rsidR="002D014A">
        <w:rPr>
          <w:rFonts w:ascii="Times New Roman" w:hAnsi="Times New Roman" w:cs="Times New Roman"/>
          <w:sz w:val="24"/>
          <w:szCs w:val="24"/>
        </w:rPr>
        <w:t xml:space="preserve"> We will also unde</w:t>
      </w:r>
      <w:r w:rsidR="00B02683">
        <w:rPr>
          <w:rFonts w:ascii="Times New Roman" w:hAnsi="Times New Roman" w:cs="Times New Roman"/>
          <w:sz w:val="24"/>
          <w:szCs w:val="24"/>
        </w:rPr>
        <w:t>r</w:t>
      </w:r>
      <w:r w:rsidR="00910099">
        <w:rPr>
          <w:rFonts w:ascii="Times New Roman" w:hAnsi="Times New Roman" w:cs="Times New Roman"/>
          <w:sz w:val="24"/>
          <w:szCs w:val="24"/>
        </w:rPr>
        <w:t>estimate</w:t>
      </w:r>
      <w:r w:rsidR="002D014A">
        <w:rPr>
          <w:rFonts w:ascii="Times New Roman" w:hAnsi="Times New Roman" w:cs="Times New Roman"/>
          <w:sz w:val="24"/>
          <w:szCs w:val="24"/>
        </w:rPr>
        <w:t xml:space="preserve"> the effects if the duration of the shocks is shorter</w:t>
      </w:r>
      <w:r w:rsidR="00B02683">
        <w:rPr>
          <w:rFonts w:ascii="Times New Roman" w:hAnsi="Times New Roman" w:cs="Times New Roman"/>
          <w:sz w:val="24"/>
          <w:szCs w:val="24"/>
        </w:rPr>
        <w:t xml:space="preserve"> </w:t>
      </w:r>
      <w:r w:rsidR="00ED5D68">
        <w:rPr>
          <w:rFonts w:ascii="Times New Roman" w:hAnsi="Times New Roman" w:cs="Times New Roman"/>
          <w:sz w:val="24"/>
          <w:szCs w:val="24"/>
        </w:rPr>
        <w:t>(longer) than specified.</w:t>
      </w:r>
    </w:p>
    <w:p w14:paraId="1E1CAD17" w14:textId="11EDE545" w:rsidR="00A31932" w:rsidRDefault="00A31932" w:rsidP="0091009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We </w:t>
      </w:r>
      <w:r w:rsidR="005C0B02">
        <w:rPr>
          <w:rFonts w:ascii="Times New Roman" w:hAnsi="Times New Roman" w:cs="Times New Roman"/>
          <w:sz w:val="24"/>
          <w:szCs w:val="24"/>
        </w:rPr>
        <w:t>first examine</w:t>
      </w:r>
      <w:r>
        <w:rPr>
          <w:rFonts w:ascii="Times New Roman" w:hAnsi="Times New Roman" w:cs="Times New Roman"/>
          <w:sz w:val="24"/>
          <w:szCs w:val="24"/>
        </w:rPr>
        <w:t xml:space="preserve"> the effect of the trade shocks on the probability that a child is born to a single mother. Throughout the empirical analysis the omitted category are regions unsuitable for the production of the good affected by export shocks. </w:t>
      </w:r>
      <w:r w:rsidR="00775ACD">
        <w:rPr>
          <w:rFonts w:ascii="Times New Roman" w:hAnsi="Times New Roman" w:cs="Times New Roman"/>
          <w:sz w:val="24"/>
          <w:szCs w:val="24"/>
        </w:rPr>
        <w:t xml:space="preserve">Coefficients </w:t>
      </w:r>
      <w:r>
        <w:rPr>
          <w:rFonts w:ascii="Times New Roman" w:hAnsi="Times New Roman" w:cs="Times New Roman"/>
          <w:sz w:val="24"/>
          <w:szCs w:val="24"/>
        </w:rPr>
        <w:t xml:space="preserve">are interpreted as differences from mean outcomes between the omitted regions and regions affected by the shocks. </w:t>
      </w:r>
      <w:r w:rsidR="00897E89">
        <w:rPr>
          <w:rFonts w:ascii="Times New Roman" w:hAnsi="Times New Roman" w:cs="Times New Roman"/>
          <w:sz w:val="24"/>
          <w:szCs w:val="24"/>
        </w:rPr>
        <w:t xml:space="preserve">The oats and the wheat shocks affect the same regions as soil suitability of oats and wheat is highly correlated. </w:t>
      </w:r>
      <w:r w:rsidR="000568AB">
        <w:rPr>
          <w:rFonts w:ascii="Times New Roman" w:hAnsi="Times New Roman" w:cs="Times New Roman"/>
          <w:sz w:val="24"/>
          <w:szCs w:val="24"/>
        </w:rPr>
        <w:t xml:space="preserve">We estimate the effects of these shocks in a single specification. </w:t>
      </w:r>
      <w:r w:rsidR="00C21792">
        <w:rPr>
          <w:rFonts w:ascii="Times New Roman" w:hAnsi="Times New Roman" w:cs="Times New Roman"/>
          <w:sz w:val="24"/>
          <w:szCs w:val="24"/>
        </w:rPr>
        <w:t xml:space="preserve">The expectation is that the two types of shocks will work in the opposite direction. </w:t>
      </w:r>
      <w:r w:rsidR="00604796">
        <w:rPr>
          <w:rFonts w:ascii="Times New Roman" w:hAnsi="Times New Roman" w:cs="Times New Roman"/>
          <w:sz w:val="24"/>
          <w:szCs w:val="24"/>
        </w:rPr>
        <w:t>The regions affected by the timber and butter shocks are geographic</w:t>
      </w:r>
      <w:r w:rsidR="00910099">
        <w:rPr>
          <w:rFonts w:ascii="Times New Roman" w:hAnsi="Times New Roman" w:cs="Times New Roman"/>
          <w:sz w:val="24"/>
          <w:szCs w:val="24"/>
        </w:rPr>
        <w:t>ally different (see the map in F</w:t>
      </w:r>
      <w:r w:rsidR="00604796">
        <w:rPr>
          <w:rFonts w:ascii="Times New Roman" w:hAnsi="Times New Roman" w:cs="Times New Roman"/>
          <w:sz w:val="24"/>
          <w:szCs w:val="24"/>
        </w:rPr>
        <w:t xml:space="preserve">igure </w:t>
      </w:r>
      <w:r w:rsidR="00910099">
        <w:rPr>
          <w:rFonts w:ascii="Times New Roman" w:hAnsi="Times New Roman" w:cs="Times New Roman"/>
          <w:sz w:val="24"/>
          <w:szCs w:val="24"/>
        </w:rPr>
        <w:t>1B</w:t>
      </w:r>
      <w:r w:rsidR="00604796">
        <w:rPr>
          <w:rFonts w:ascii="Times New Roman" w:hAnsi="Times New Roman" w:cs="Times New Roman"/>
          <w:sz w:val="24"/>
          <w:szCs w:val="24"/>
        </w:rPr>
        <w:t xml:space="preserve">). </w:t>
      </w:r>
      <w:r>
        <w:rPr>
          <w:rFonts w:ascii="Times New Roman" w:hAnsi="Times New Roman" w:cs="Times New Roman"/>
          <w:sz w:val="24"/>
          <w:szCs w:val="24"/>
        </w:rPr>
        <w:t xml:space="preserve">Columns 1-4 in Table 2 present the results we obtain by using male-specific (columns 1 and 2) and female-specific (columns 3 and 4) relative earnings shocks. A male-specific earnings </w:t>
      </w:r>
      <w:r w:rsidR="00910099">
        <w:rPr>
          <w:rFonts w:ascii="Times New Roman" w:hAnsi="Times New Roman" w:cs="Times New Roman"/>
          <w:sz w:val="24"/>
          <w:szCs w:val="24"/>
        </w:rPr>
        <w:t>boom</w:t>
      </w:r>
      <w:r>
        <w:rPr>
          <w:rFonts w:ascii="Times New Roman" w:hAnsi="Times New Roman" w:cs="Times New Roman"/>
          <w:sz w:val="24"/>
          <w:szCs w:val="24"/>
        </w:rPr>
        <w:t xml:space="preserve"> increases the illegitimacy rate by approximately 30% (1.6 percentage points</w:t>
      </w:r>
      <w:r w:rsidR="00E6247F">
        <w:rPr>
          <w:rFonts w:ascii="Times New Roman" w:hAnsi="Times New Roman" w:cs="Times New Roman"/>
          <w:sz w:val="24"/>
          <w:szCs w:val="24"/>
        </w:rPr>
        <w:t xml:space="preserve"> from a mean of 4.8%). Similar</w:t>
      </w:r>
      <w:r>
        <w:rPr>
          <w:rFonts w:ascii="Times New Roman" w:hAnsi="Times New Roman" w:cs="Times New Roman"/>
          <w:sz w:val="24"/>
          <w:szCs w:val="24"/>
        </w:rPr>
        <w:t xml:space="preserve"> to </w:t>
      </w:r>
      <w:r>
        <w:rPr>
          <w:rFonts w:ascii="Times New Roman" w:hAnsi="Times New Roman" w:cs="Times New Roman"/>
          <w:sz w:val="24"/>
          <w:szCs w:val="24"/>
        </w:rPr>
        <w:lastRenderedPageBreak/>
        <w:t>Schultz (1985) we find no significant effects of male-specific earnings shocks on the overall contemporaneous fertility rate</w:t>
      </w:r>
      <w:r w:rsidR="00910099">
        <w:rPr>
          <w:rFonts w:ascii="Times New Roman" w:hAnsi="Times New Roman" w:cs="Times New Roman"/>
          <w:sz w:val="24"/>
          <w:szCs w:val="24"/>
        </w:rPr>
        <w:t xml:space="preserve"> (not shown)</w:t>
      </w:r>
      <w:r w:rsidR="00970142">
        <w:rPr>
          <w:rFonts w:ascii="Times New Roman" w:hAnsi="Times New Roman" w:cs="Times New Roman"/>
          <w:sz w:val="24"/>
          <w:szCs w:val="24"/>
        </w:rPr>
        <w:t>. Thus, the</w:t>
      </w:r>
      <w:r>
        <w:rPr>
          <w:rFonts w:ascii="Times New Roman" w:hAnsi="Times New Roman" w:cs="Times New Roman"/>
          <w:sz w:val="24"/>
          <w:szCs w:val="24"/>
        </w:rPr>
        <w:t xml:space="preserve"> rising illegitimacy rate reflect</w:t>
      </w:r>
      <w:r w:rsidR="00970142">
        <w:rPr>
          <w:rFonts w:ascii="Times New Roman" w:hAnsi="Times New Roman" w:cs="Times New Roman"/>
          <w:sz w:val="24"/>
          <w:szCs w:val="24"/>
        </w:rPr>
        <w:t>s</w:t>
      </w:r>
      <w:r>
        <w:rPr>
          <w:rFonts w:ascii="Times New Roman" w:hAnsi="Times New Roman" w:cs="Times New Roman"/>
          <w:sz w:val="24"/>
          <w:szCs w:val="24"/>
        </w:rPr>
        <w:t xml:space="preserve"> a shift</w:t>
      </w:r>
      <w:r w:rsidR="00E6247F">
        <w:rPr>
          <w:rFonts w:ascii="Times New Roman" w:hAnsi="Times New Roman" w:cs="Times New Roman"/>
          <w:sz w:val="24"/>
          <w:szCs w:val="24"/>
        </w:rPr>
        <w:t xml:space="preserve"> in the composition of births. </w:t>
      </w:r>
      <w:r>
        <w:rPr>
          <w:rFonts w:ascii="Times New Roman" w:hAnsi="Times New Roman" w:cs="Times New Roman"/>
          <w:sz w:val="24"/>
          <w:szCs w:val="24"/>
        </w:rPr>
        <w:t>Children born to single mothers in the 19</w:t>
      </w:r>
      <w:r w:rsidR="00910099">
        <w:rPr>
          <w:rFonts w:ascii="Times New Roman" w:hAnsi="Times New Roman" w:cs="Times New Roman"/>
          <w:sz w:val="24"/>
          <w:szCs w:val="24"/>
        </w:rPr>
        <w:t xml:space="preserve">th </w:t>
      </w:r>
      <w:r>
        <w:rPr>
          <w:rFonts w:ascii="Times New Roman" w:hAnsi="Times New Roman" w:cs="Times New Roman"/>
          <w:sz w:val="24"/>
          <w:szCs w:val="24"/>
        </w:rPr>
        <w:t xml:space="preserve">century were at a significant disadvantage throughout their lives compared to children born to married parents. Our results suggest that the average child born during periods of </w:t>
      </w:r>
      <w:r w:rsidR="00970142">
        <w:rPr>
          <w:rFonts w:ascii="Times New Roman" w:hAnsi="Times New Roman" w:cs="Times New Roman"/>
          <w:sz w:val="24"/>
          <w:szCs w:val="24"/>
        </w:rPr>
        <w:t xml:space="preserve">higher </w:t>
      </w:r>
      <w:r>
        <w:rPr>
          <w:rFonts w:ascii="Times New Roman" w:hAnsi="Times New Roman" w:cs="Times New Roman"/>
          <w:sz w:val="24"/>
          <w:szCs w:val="24"/>
        </w:rPr>
        <w:t>male-specific earnings had lower wellbeing during their lifetime. The contrary is true for children born during periods of high female earnings potential. The point estimates are of the opposite sign and of very simila</w:t>
      </w:r>
      <w:r w:rsidR="00ED5D68">
        <w:rPr>
          <w:rFonts w:ascii="Times New Roman" w:hAnsi="Times New Roman" w:cs="Times New Roman"/>
          <w:sz w:val="24"/>
          <w:szCs w:val="24"/>
        </w:rPr>
        <w:t>r magnitude in columns 3 and 4.</w:t>
      </w:r>
      <w:r w:rsidR="00E6247F">
        <w:rPr>
          <w:rStyle w:val="FootnoteReference"/>
          <w:rFonts w:ascii="Times New Roman" w:hAnsi="Times New Roman" w:cs="Times New Roman"/>
          <w:sz w:val="24"/>
          <w:szCs w:val="24"/>
        </w:rPr>
        <w:footnoteReference w:id="7"/>
      </w:r>
      <w:r w:rsidR="00910099">
        <w:rPr>
          <w:rFonts w:ascii="Times New Roman" w:hAnsi="Times New Roman" w:cs="Times New Roman"/>
          <w:sz w:val="24"/>
          <w:szCs w:val="24"/>
        </w:rPr>
        <w:t xml:space="preserve"> </w:t>
      </w:r>
      <w:r>
        <w:rPr>
          <w:rFonts w:ascii="Times New Roman" w:hAnsi="Times New Roman" w:cs="Times New Roman"/>
          <w:sz w:val="24"/>
          <w:szCs w:val="24"/>
        </w:rPr>
        <w:t xml:space="preserve">We next study how export </w:t>
      </w:r>
      <w:r w:rsidR="00910099">
        <w:rPr>
          <w:rFonts w:ascii="Times New Roman" w:hAnsi="Times New Roman" w:cs="Times New Roman"/>
          <w:sz w:val="24"/>
          <w:szCs w:val="24"/>
        </w:rPr>
        <w:t>booms</w:t>
      </w:r>
      <w:r>
        <w:rPr>
          <w:rFonts w:ascii="Times New Roman" w:hAnsi="Times New Roman" w:cs="Times New Roman"/>
          <w:sz w:val="24"/>
          <w:szCs w:val="24"/>
        </w:rPr>
        <w:t xml:space="preserve"> affect the probability of child death before age 5. Again, male-specific and female-specific shocks work in the opposite direction. Male-specific shocks result in higher child mortality rates. Higher female earnings power reduces these rates. These patterns repeat when we consider the vaccination rate. Relatively more powerful women </w:t>
      </w:r>
      <w:r w:rsidR="00910099">
        <w:rPr>
          <w:rFonts w:ascii="Times New Roman" w:hAnsi="Times New Roman" w:cs="Times New Roman"/>
          <w:sz w:val="24"/>
          <w:szCs w:val="24"/>
        </w:rPr>
        <w:t>improve</w:t>
      </w:r>
      <w:r>
        <w:rPr>
          <w:rFonts w:ascii="Times New Roman" w:hAnsi="Times New Roman" w:cs="Times New Roman"/>
          <w:sz w:val="24"/>
          <w:szCs w:val="24"/>
        </w:rPr>
        <w:t xml:space="preserve"> children’s health.</w:t>
      </w:r>
      <w:r w:rsidRPr="00473140">
        <w:rPr>
          <w:rStyle w:val="FootnoteReference"/>
          <w:rFonts w:ascii="Times New Roman" w:hAnsi="Times New Roman" w:cs="Times New Roman"/>
          <w:sz w:val="24"/>
          <w:szCs w:val="24"/>
        </w:rPr>
        <w:footnoteReference w:id="8"/>
      </w:r>
    </w:p>
    <w:p w14:paraId="44C08804" w14:textId="77777777" w:rsidR="00B304FB" w:rsidRDefault="00A31932" w:rsidP="00B304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lower panel of Table 2 presents the effects of exposure to earnings shock</w:t>
      </w:r>
      <w:r w:rsidR="00970142">
        <w:rPr>
          <w:rFonts w:ascii="Times New Roman" w:hAnsi="Times New Roman" w:cs="Times New Roman"/>
          <w:sz w:val="24"/>
          <w:szCs w:val="24"/>
        </w:rPr>
        <w:t>s</w:t>
      </w:r>
      <w:r>
        <w:rPr>
          <w:rFonts w:ascii="Times New Roman" w:hAnsi="Times New Roman" w:cs="Times New Roman"/>
          <w:sz w:val="24"/>
          <w:szCs w:val="24"/>
        </w:rPr>
        <w:t xml:space="preserve"> during childhood on the age </w:t>
      </w:r>
      <w:r w:rsidR="00970142">
        <w:rPr>
          <w:rFonts w:ascii="Times New Roman" w:hAnsi="Times New Roman" w:cs="Times New Roman"/>
          <w:sz w:val="24"/>
          <w:szCs w:val="24"/>
        </w:rPr>
        <w:t>at</w:t>
      </w:r>
      <w:r>
        <w:rPr>
          <w:rFonts w:ascii="Times New Roman" w:hAnsi="Times New Roman" w:cs="Times New Roman"/>
          <w:sz w:val="24"/>
          <w:szCs w:val="24"/>
        </w:rPr>
        <w:t xml:space="preserve"> first childbearing,</w:t>
      </w:r>
      <w:r w:rsidR="00970142">
        <w:rPr>
          <w:rFonts w:ascii="Times New Roman" w:hAnsi="Times New Roman" w:cs="Times New Roman"/>
          <w:sz w:val="24"/>
          <w:szCs w:val="24"/>
        </w:rPr>
        <w:t xml:space="preserve"> total fertility,</w:t>
      </w:r>
      <w:r>
        <w:rPr>
          <w:rFonts w:ascii="Times New Roman" w:hAnsi="Times New Roman" w:cs="Times New Roman"/>
          <w:sz w:val="24"/>
          <w:szCs w:val="24"/>
        </w:rPr>
        <w:t xml:space="preserve"> and the </w:t>
      </w:r>
      <w:r w:rsidR="00D82F96">
        <w:rPr>
          <w:rFonts w:ascii="Times New Roman" w:hAnsi="Times New Roman" w:cs="Times New Roman"/>
          <w:sz w:val="24"/>
          <w:szCs w:val="24"/>
        </w:rPr>
        <w:t xml:space="preserve">child </w:t>
      </w:r>
      <w:r>
        <w:rPr>
          <w:rFonts w:ascii="Times New Roman" w:hAnsi="Times New Roman" w:cs="Times New Roman"/>
          <w:sz w:val="24"/>
          <w:szCs w:val="24"/>
        </w:rPr>
        <w:t xml:space="preserve">mortality rate of the next generation. Treatment is defined as the number of years of exposure to the shock during childhood (until the individual turns 15). The coefficients estimate the marginal effect of </w:t>
      </w:r>
      <w:r w:rsidR="00910099">
        <w:rPr>
          <w:rFonts w:ascii="Times New Roman" w:hAnsi="Times New Roman" w:cs="Times New Roman"/>
          <w:sz w:val="24"/>
          <w:szCs w:val="24"/>
        </w:rPr>
        <w:t xml:space="preserve">experiencing </w:t>
      </w:r>
      <w:r>
        <w:rPr>
          <w:rFonts w:ascii="Times New Roman" w:hAnsi="Times New Roman" w:cs="Times New Roman"/>
          <w:sz w:val="24"/>
          <w:szCs w:val="24"/>
        </w:rPr>
        <w:t xml:space="preserve">an extra year </w:t>
      </w:r>
      <w:r w:rsidR="00910099">
        <w:rPr>
          <w:rFonts w:ascii="Times New Roman" w:hAnsi="Times New Roman" w:cs="Times New Roman"/>
          <w:sz w:val="24"/>
          <w:szCs w:val="24"/>
        </w:rPr>
        <w:t>of</w:t>
      </w:r>
      <w:r>
        <w:rPr>
          <w:rFonts w:ascii="Times New Roman" w:hAnsi="Times New Roman" w:cs="Times New Roman"/>
          <w:sz w:val="24"/>
          <w:szCs w:val="24"/>
        </w:rPr>
        <w:t xml:space="preserve"> the shocks. Average exposure in the sample is approximately 1 year; among individuals exposed for at least one year the average</w:t>
      </w:r>
      <w:r w:rsidR="006A4DAE">
        <w:rPr>
          <w:rFonts w:ascii="Times New Roman" w:hAnsi="Times New Roman" w:cs="Times New Roman"/>
          <w:sz w:val="24"/>
          <w:szCs w:val="24"/>
        </w:rPr>
        <w:t xml:space="preserve"> is 6 years. </w:t>
      </w:r>
      <w:r>
        <w:rPr>
          <w:rFonts w:ascii="Times New Roman" w:hAnsi="Times New Roman" w:cs="Times New Roman"/>
          <w:sz w:val="24"/>
          <w:szCs w:val="24"/>
        </w:rPr>
        <w:t>The sample is restricted to people who are born during the sample period 1810-1890 and whose children’s outcomes are obser</w:t>
      </w:r>
      <w:r w:rsidR="00ED5D68">
        <w:rPr>
          <w:rFonts w:ascii="Times New Roman" w:hAnsi="Times New Roman" w:cs="Times New Roman"/>
          <w:sz w:val="24"/>
          <w:szCs w:val="24"/>
        </w:rPr>
        <w:t>ved.</w:t>
      </w:r>
      <w:r w:rsidR="00FB2803">
        <w:rPr>
          <w:rFonts w:ascii="Times New Roman" w:hAnsi="Times New Roman" w:cs="Times New Roman"/>
          <w:sz w:val="24"/>
          <w:szCs w:val="24"/>
        </w:rPr>
        <w:t xml:space="preserve"> </w:t>
      </w:r>
      <w:r w:rsidR="00B304FB">
        <w:rPr>
          <w:rFonts w:ascii="Times New Roman" w:hAnsi="Times New Roman" w:cs="Times New Roman"/>
          <w:sz w:val="24"/>
          <w:szCs w:val="24"/>
        </w:rPr>
        <w:t xml:space="preserve">               </w:t>
      </w:r>
    </w:p>
    <w:p w14:paraId="45C300F0" w14:textId="3921EE3C" w:rsidR="00297CB6" w:rsidRDefault="00970142" w:rsidP="00B304F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Rising</w:t>
      </w:r>
      <w:r w:rsidR="00A31932">
        <w:rPr>
          <w:rFonts w:ascii="Times New Roman" w:hAnsi="Times New Roman" w:cs="Times New Roman"/>
          <w:sz w:val="24"/>
          <w:szCs w:val="24"/>
        </w:rPr>
        <w:t xml:space="preserve"> male relative earnings decrease the age of first childbearing, shifting births from women’s 30s to their 20s.</w:t>
      </w:r>
      <w:r w:rsidR="00A31932">
        <w:rPr>
          <w:rStyle w:val="FootnoteReference"/>
          <w:rFonts w:ascii="Times New Roman" w:hAnsi="Times New Roman" w:cs="Times New Roman"/>
          <w:sz w:val="24"/>
          <w:szCs w:val="24"/>
        </w:rPr>
        <w:footnoteReference w:id="9"/>
      </w:r>
      <w:r w:rsidR="00A31932">
        <w:rPr>
          <w:rFonts w:ascii="Times New Roman" w:hAnsi="Times New Roman" w:cs="Times New Roman"/>
          <w:sz w:val="24"/>
          <w:szCs w:val="24"/>
        </w:rPr>
        <w:t xml:space="preserve"> Interestingly, positive female shocks work in the same direction, even though the point estimate is not precise enough draw any strong conclusions</w:t>
      </w:r>
      <w:r w:rsidR="00287BA0">
        <w:rPr>
          <w:rFonts w:ascii="Times New Roman" w:hAnsi="Times New Roman" w:cs="Times New Roman"/>
          <w:sz w:val="24"/>
          <w:szCs w:val="24"/>
        </w:rPr>
        <w:t>.</w:t>
      </w:r>
      <w:r w:rsidR="00A31932">
        <w:rPr>
          <w:rStyle w:val="FootnoteReference"/>
          <w:rFonts w:ascii="Times New Roman" w:hAnsi="Times New Roman" w:cs="Times New Roman"/>
          <w:sz w:val="24"/>
          <w:szCs w:val="24"/>
        </w:rPr>
        <w:footnoteReference w:id="10"/>
      </w:r>
      <w:r w:rsidR="00A31932">
        <w:rPr>
          <w:rFonts w:ascii="Times New Roman" w:hAnsi="Times New Roman" w:cs="Times New Roman"/>
          <w:sz w:val="24"/>
          <w:szCs w:val="24"/>
        </w:rPr>
        <w:t xml:space="preserve">  The last rows in Table 2 reports the coefficient estimates from models of total fertility and child mortality </w:t>
      </w:r>
      <w:r w:rsidR="00B56C19">
        <w:rPr>
          <w:rFonts w:ascii="Times New Roman" w:hAnsi="Times New Roman" w:cs="Times New Roman"/>
          <w:sz w:val="24"/>
          <w:szCs w:val="24"/>
        </w:rPr>
        <w:t xml:space="preserve">in </w:t>
      </w:r>
      <w:r w:rsidR="00A31932">
        <w:rPr>
          <w:rFonts w:ascii="Times New Roman" w:hAnsi="Times New Roman" w:cs="Times New Roman"/>
          <w:sz w:val="24"/>
          <w:szCs w:val="24"/>
        </w:rPr>
        <w:t>the next generation.</w:t>
      </w:r>
      <w:r w:rsidR="00287BA0" w:rsidRPr="00287BA0">
        <w:rPr>
          <w:rStyle w:val="FootnoteReference"/>
          <w:rFonts w:ascii="Times New Roman" w:hAnsi="Times New Roman" w:cs="Times New Roman"/>
          <w:sz w:val="24"/>
          <w:szCs w:val="24"/>
        </w:rPr>
        <w:t xml:space="preserve"> </w:t>
      </w:r>
      <w:r w:rsidR="00287BA0">
        <w:rPr>
          <w:rStyle w:val="FootnoteReference"/>
          <w:rFonts w:ascii="Times New Roman" w:hAnsi="Times New Roman" w:cs="Times New Roman"/>
          <w:sz w:val="24"/>
          <w:szCs w:val="24"/>
        </w:rPr>
        <w:footnoteReference w:id="11"/>
      </w:r>
      <w:r w:rsidR="00A31932">
        <w:rPr>
          <w:rFonts w:ascii="Times New Roman" w:hAnsi="Times New Roman" w:cs="Times New Roman"/>
          <w:sz w:val="24"/>
          <w:szCs w:val="24"/>
        </w:rPr>
        <w:t xml:space="preserve"> </w:t>
      </w:r>
      <w:r w:rsidR="00C21792">
        <w:rPr>
          <w:rFonts w:ascii="Times New Roman" w:hAnsi="Times New Roman" w:cs="Times New Roman"/>
          <w:sz w:val="24"/>
          <w:szCs w:val="24"/>
        </w:rPr>
        <w:t xml:space="preserve">Parents </w:t>
      </w:r>
      <w:r w:rsidR="00A31932">
        <w:rPr>
          <w:rFonts w:ascii="Times New Roman" w:hAnsi="Times New Roman" w:cs="Times New Roman"/>
          <w:sz w:val="24"/>
          <w:szCs w:val="24"/>
        </w:rPr>
        <w:t>who grew up during periods of male-specific positive earnings shocks have more children, and these children are more likely to die before the age of 5. On the contrary, those who experienced positive female-specific earnings shocks during childhood have fewer children and are less likely to lose a child. For example, spending 7 years of childhood during a male-specific positive shock increases child mortality by 0.7 percentage points</w:t>
      </w:r>
      <w:r w:rsidR="00E5018E">
        <w:rPr>
          <w:rFonts w:ascii="Times New Roman" w:hAnsi="Times New Roman" w:cs="Times New Roman"/>
          <w:sz w:val="24"/>
          <w:szCs w:val="24"/>
        </w:rPr>
        <w:t>,</w:t>
      </w:r>
      <w:r w:rsidR="00A31932">
        <w:rPr>
          <w:rFonts w:ascii="Times New Roman" w:hAnsi="Times New Roman" w:cs="Times New Roman"/>
          <w:sz w:val="24"/>
          <w:szCs w:val="24"/>
        </w:rPr>
        <w:t xml:space="preserve"> while a female-specific positive shock of the same duration decreases it by double that magnitude (31% percent at </w:t>
      </w:r>
      <w:r w:rsidR="00E5018E">
        <w:rPr>
          <w:rFonts w:ascii="Times New Roman" w:hAnsi="Times New Roman" w:cs="Times New Roman"/>
          <w:sz w:val="24"/>
          <w:szCs w:val="24"/>
        </w:rPr>
        <w:t>a</w:t>
      </w:r>
      <w:r w:rsidR="00A31932">
        <w:rPr>
          <w:rFonts w:ascii="Times New Roman" w:hAnsi="Times New Roman" w:cs="Times New Roman"/>
          <w:sz w:val="24"/>
          <w:szCs w:val="24"/>
        </w:rPr>
        <w:t xml:space="preserve"> mean of 0.045). This is clear evidence in favor of</w:t>
      </w:r>
      <w:r w:rsidR="00964E71">
        <w:rPr>
          <w:rFonts w:ascii="Times New Roman" w:hAnsi="Times New Roman" w:cs="Times New Roman"/>
          <w:sz w:val="24"/>
          <w:szCs w:val="24"/>
        </w:rPr>
        <w:t xml:space="preserve"> the quality-quantity tradeoff: </w:t>
      </w:r>
      <w:r w:rsidR="00A31932">
        <w:rPr>
          <w:rFonts w:ascii="Times New Roman" w:hAnsi="Times New Roman" w:cs="Times New Roman"/>
          <w:sz w:val="24"/>
          <w:szCs w:val="24"/>
        </w:rPr>
        <w:t>parents affected by female-specific earnings shocks during childhood have fewer children but invest more in them. The effects on child mortality of the next generation are similar in the samples of men and women</w:t>
      </w:r>
      <w:r w:rsidR="00C21792">
        <w:rPr>
          <w:rFonts w:ascii="Times New Roman" w:hAnsi="Times New Roman" w:cs="Times New Roman"/>
          <w:sz w:val="24"/>
          <w:szCs w:val="24"/>
        </w:rPr>
        <w:t>;</w:t>
      </w:r>
      <w:r w:rsidR="00A31932">
        <w:rPr>
          <w:rFonts w:ascii="Times New Roman" w:hAnsi="Times New Roman" w:cs="Times New Roman"/>
          <w:sz w:val="24"/>
          <w:szCs w:val="24"/>
        </w:rPr>
        <w:t xml:space="preserve"> boys who grow up during female-specific positive earnings shocks are affected similarly to girls. The findings are consistent across the immediate and the long-term outcomes–positive shocks to relative female earnings are beneficial for the health of the current and future generations. This evidence can be interpreted in favor of intergenerational transmission of health</w:t>
      </w:r>
      <w:r w:rsidR="00C55F81">
        <w:rPr>
          <w:rFonts w:ascii="Times New Roman" w:hAnsi="Times New Roman" w:cs="Times New Roman"/>
          <w:sz w:val="24"/>
          <w:szCs w:val="24"/>
        </w:rPr>
        <w:t xml:space="preserve"> -</w:t>
      </w:r>
      <w:r w:rsidR="00A31932">
        <w:rPr>
          <w:rFonts w:ascii="Times New Roman" w:hAnsi="Times New Roman" w:cs="Times New Roman"/>
          <w:sz w:val="24"/>
          <w:szCs w:val="24"/>
        </w:rPr>
        <w:t xml:space="preserve"> worse mother’s health during childhood is predictive of bad health for her children. It is also consistent with </w:t>
      </w:r>
      <w:r w:rsidR="00287BA0">
        <w:rPr>
          <w:rFonts w:ascii="Times New Roman" w:hAnsi="Times New Roman" w:cs="Times New Roman"/>
          <w:sz w:val="24"/>
          <w:szCs w:val="24"/>
        </w:rPr>
        <w:t>the notion</w:t>
      </w:r>
      <w:r w:rsidR="00A31932">
        <w:rPr>
          <w:rFonts w:ascii="Times New Roman" w:hAnsi="Times New Roman" w:cs="Times New Roman"/>
          <w:sz w:val="24"/>
          <w:szCs w:val="24"/>
        </w:rPr>
        <w:t xml:space="preserve"> </w:t>
      </w:r>
      <w:r w:rsidR="00287BA0">
        <w:rPr>
          <w:rFonts w:ascii="Times New Roman" w:hAnsi="Times New Roman" w:cs="Times New Roman"/>
          <w:sz w:val="24"/>
          <w:szCs w:val="24"/>
        </w:rPr>
        <w:t xml:space="preserve">that </w:t>
      </w:r>
      <w:r w:rsidR="00A31932">
        <w:rPr>
          <w:rFonts w:ascii="Times New Roman" w:hAnsi="Times New Roman" w:cs="Times New Roman"/>
          <w:sz w:val="24"/>
          <w:szCs w:val="24"/>
        </w:rPr>
        <w:t xml:space="preserve">the grandmother’s earnings potential during the mother’s childhood </w:t>
      </w:r>
      <w:r w:rsidR="00222F69">
        <w:rPr>
          <w:rFonts w:ascii="Times New Roman" w:hAnsi="Times New Roman" w:cs="Times New Roman"/>
          <w:sz w:val="24"/>
          <w:szCs w:val="24"/>
        </w:rPr>
        <w:t>affects the education of</w:t>
      </w:r>
      <w:r w:rsidR="00A31932">
        <w:rPr>
          <w:rFonts w:ascii="Times New Roman" w:hAnsi="Times New Roman" w:cs="Times New Roman"/>
          <w:sz w:val="24"/>
          <w:szCs w:val="24"/>
        </w:rPr>
        <w:t xml:space="preserve"> the mother, resulting in better health for her children</w:t>
      </w:r>
      <w:r w:rsidR="004C1AB9">
        <w:rPr>
          <w:rFonts w:ascii="Times New Roman" w:hAnsi="Times New Roman" w:cs="Times New Roman"/>
          <w:sz w:val="24"/>
          <w:szCs w:val="24"/>
        </w:rPr>
        <w:t xml:space="preserve"> (</w:t>
      </w:r>
      <w:proofErr w:type="spellStart"/>
      <w:r w:rsidR="004C1AB9">
        <w:rPr>
          <w:rFonts w:ascii="Times New Roman" w:hAnsi="Times New Roman" w:cs="Times New Roman"/>
          <w:sz w:val="24"/>
          <w:szCs w:val="24"/>
        </w:rPr>
        <w:t>Duflo</w:t>
      </w:r>
      <w:proofErr w:type="spellEnd"/>
      <w:r w:rsidR="004C1AB9">
        <w:rPr>
          <w:rFonts w:ascii="Times New Roman" w:hAnsi="Times New Roman" w:cs="Times New Roman"/>
          <w:sz w:val="24"/>
          <w:szCs w:val="24"/>
        </w:rPr>
        <w:t>, 2003)</w:t>
      </w:r>
      <w:r w:rsidR="00A31932">
        <w:rPr>
          <w:rFonts w:ascii="Times New Roman" w:hAnsi="Times New Roman" w:cs="Times New Roman"/>
          <w:sz w:val="24"/>
          <w:szCs w:val="24"/>
        </w:rPr>
        <w:t>. While</w:t>
      </w:r>
      <w:r w:rsidR="004C1AB9">
        <w:rPr>
          <w:rFonts w:ascii="Times New Roman" w:hAnsi="Times New Roman" w:cs="Times New Roman"/>
          <w:sz w:val="24"/>
          <w:szCs w:val="24"/>
        </w:rPr>
        <w:t xml:space="preserve"> </w:t>
      </w:r>
      <w:r w:rsidR="00A31932">
        <w:rPr>
          <w:rFonts w:ascii="Times New Roman" w:hAnsi="Times New Roman" w:cs="Times New Roman"/>
          <w:sz w:val="24"/>
          <w:szCs w:val="24"/>
        </w:rPr>
        <w:t xml:space="preserve">the data do not allow us to distinguish between these two </w:t>
      </w:r>
      <w:r w:rsidR="00A31932">
        <w:rPr>
          <w:rFonts w:ascii="Times New Roman" w:hAnsi="Times New Roman" w:cs="Times New Roman"/>
          <w:sz w:val="24"/>
          <w:szCs w:val="24"/>
        </w:rPr>
        <w:lastRenderedPageBreak/>
        <w:t xml:space="preserve">mechanisms, </w:t>
      </w:r>
      <w:r w:rsidR="00AB748F">
        <w:rPr>
          <w:rFonts w:ascii="Times New Roman" w:hAnsi="Times New Roman" w:cs="Times New Roman"/>
          <w:sz w:val="24"/>
          <w:szCs w:val="24"/>
        </w:rPr>
        <w:t xml:space="preserve">they </w:t>
      </w:r>
      <w:r w:rsidR="00A31932">
        <w:rPr>
          <w:rFonts w:ascii="Times New Roman" w:hAnsi="Times New Roman" w:cs="Times New Roman"/>
          <w:sz w:val="24"/>
          <w:szCs w:val="24"/>
        </w:rPr>
        <w:t>speak</w:t>
      </w:r>
      <w:r w:rsidR="00B304FB">
        <w:rPr>
          <w:rFonts w:ascii="Times New Roman" w:hAnsi="Times New Roman" w:cs="Times New Roman"/>
          <w:sz w:val="24"/>
          <w:szCs w:val="24"/>
        </w:rPr>
        <w:t xml:space="preserve"> </w:t>
      </w:r>
      <w:r w:rsidR="00A31932">
        <w:rPr>
          <w:rFonts w:ascii="Times New Roman" w:hAnsi="Times New Roman" w:cs="Times New Roman"/>
          <w:sz w:val="24"/>
          <w:szCs w:val="24"/>
        </w:rPr>
        <w:t xml:space="preserve">strongly in favor of the non-unitary </w:t>
      </w:r>
      <w:r w:rsidR="00A31932" w:rsidRPr="00D65B12">
        <w:rPr>
          <w:rFonts w:ascii="Times New Roman" w:hAnsi="Times New Roman" w:cs="Times New Roman"/>
          <w:sz w:val="24"/>
          <w:szCs w:val="24"/>
        </w:rPr>
        <w:t>model of intra-</w:t>
      </w:r>
      <w:r w:rsidR="00A31932">
        <w:rPr>
          <w:rFonts w:ascii="Times New Roman" w:hAnsi="Times New Roman" w:cs="Times New Roman"/>
          <w:sz w:val="24"/>
          <w:szCs w:val="24"/>
        </w:rPr>
        <w:t>household</w:t>
      </w:r>
      <w:r w:rsidR="00A31932" w:rsidRPr="00D65B12">
        <w:rPr>
          <w:rFonts w:ascii="Times New Roman" w:hAnsi="Times New Roman" w:cs="Times New Roman"/>
          <w:sz w:val="24"/>
          <w:szCs w:val="24"/>
        </w:rPr>
        <w:t xml:space="preserve"> bargaining</w:t>
      </w:r>
      <w:r w:rsidR="00A31932">
        <w:rPr>
          <w:rFonts w:ascii="Times New Roman" w:hAnsi="Times New Roman" w:cs="Times New Roman"/>
          <w:sz w:val="24"/>
          <w:szCs w:val="24"/>
        </w:rPr>
        <w:t xml:space="preserve"> (</w:t>
      </w:r>
      <w:r w:rsidR="00255EBA">
        <w:rPr>
          <w:rFonts w:ascii="Times New Roman" w:hAnsi="Times New Roman" w:cs="Times New Roman"/>
          <w:sz w:val="24"/>
          <w:szCs w:val="24"/>
        </w:rPr>
        <w:t>Lundberg</w:t>
      </w:r>
      <w:r w:rsidR="00D633A8">
        <w:rPr>
          <w:rFonts w:ascii="Times New Roman" w:hAnsi="Times New Roman" w:cs="Times New Roman"/>
          <w:sz w:val="24"/>
          <w:szCs w:val="24"/>
        </w:rPr>
        <w:t xml:space="preserve"> and</w:t>
      </w:r>
      <w:r w:rsidR="00255EBA">
        <w:rPr>
          <w:rFonts w:ascii="Times New Roman" w:hAnsi="Times New Roman" w:cs="Times New Roman"/>
          <w:sz w:val="24"/>
          <w:szCs w:val="24"/>
        </w:rPr>
        <w:t xml:space="preserve"> </w:t>
      </w:r>
      <w:proofErr w:type="spellStart"/>
      <w:r w:rsidR="005C0B02">
        <w:rPr>
          <w:rFonts w:ascii="Times New Roman" w:hAnsi="Times New Roman" w:cs="Times New Roman"/>
          <w:sz w:val="24"/>
          <w:szCs w:val="24"/>
        </w:rPr>
        <w:t>Pollak</w:t>
      </w:r>
      <w:proofErr w:type="spellEnd"/>
      <w:r w:rsidR="00255EBA">
        <w:rPr>
          <w:rFonts w:ascii="Times New Roman" w:hAnsi="Times New Roman" w:cs="Times New Roman"/>
          <w:sz w:val="24"/>
          <w:szCs w:val="24"/>
        </w:rPr>
        <w:t>, 1993</w:t>
      </w:r>
      <w:r w:rsidR="00A31932">
        <w:rPr>
          <w:rFonts w:ascii="Times New Roman" w:hAnsi="Times New Roman" w:cs="Times New Roman"/>
          <w:sz w:val="24"/>
          <w:szCs w:val="24"/>
        </w:rPr>
        <w:t>).</w:t>
      </w:r>
    </w:p>
    <w:p w14:paraId="77C56CE5" w14:textId="77777777" w:rsidR="00297CB6" w:rsidRPr="00255EBA" w:rsidRDefault="00297CB6" w:rsidP="00DB59C2">
      <w:pPr>
        <w:spacing w:after="0" w:line="480" w:lineRule="auto"/>
        <w:jc w:val="both"/>
        <w:rPr>
          <w:rFonts w:ascii="Times New Roman" w:hAnsi="Times New Roman" w:cs="Times New Roman"/>
          <w:sz w:val="24"/>
          <w:szCs w:val="24"/>
          <w:u w:val="single"/>
        </w:rPr>
      </w:pPr>
      <w:r w:rsidRPr="00255EBA">
        <w:rPr>
          <w:rFonts w:ascii="Times New Roman" w:hAnsi="Times New Roman" w:cs="Times New Roman"/>
          <w:sz w:val="24"/>
          <w:szCs w:val="24"/>
          <w:u w:val="single"/>
        </w:rPr>
        <w:t>Concluding remarks</w:t>
      </w:r>
    </w:p>
    <w:p w14:paraId="3A3212A1" w14:textId="57DED494" w:rsidR="00DB59C2" w:rsidRDefault="00297CB6" w:rsidP="00DB59C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paper makes use of a unique dataset from 19</w:t>
      </w:r>
      <w:r w:rsidR="00E5018E">
        <w:rPr>
          <w:rFonts w:ascii="Times New Roman" w:hAnsi="Times New Roman" w:cs="Times New Roman"/>
          <w:sz w:val="24"/>
          <w:szCs w:val="24"/>
        </w:rPr>
        <w:t xml:space="preserve">th </w:t>
      </w:r>
      <w:r>
        <w:rPr>
          <w:rFonts w:ascii="Times New Roman" w:hAnsi="Times New Roman" w:cs="Times New Roman"/>
          <w:sz w:val="24"/>
          <w:szCs w:val="24"/>
        </w:rPr>
        <w:t xml:space="preserve">century Sweden and a set of international trade shocks to identify the effects of changes in gender-specific earnings </w:t>
      </w:r>
      <w:r w:rsidR="004277D9">
        <w:rPr>
          <w:rFonts w:ascii="Times New Roman" w:hAnsi="Times New Roman" w:cs="Times New Roman"/>
          <w:sz w:val="24"/>
          <w:szCs w:val="24"/>
        </w:rPr>
        <w:t>on children’</w:t>
      </w:r>
      <w:r w:rsidR="00461E47">
        <w:rPr>
          <w:rFonts w:ascii="Times New Roman" w:hAnsi="Times New Roman" w:cs="Times New Roman"/>
          <w:sz w:val="24"/>
          <w:szCs w:val="24"/>
        </w:rPr>
        <w:t xml:space="preserve">s </w:t>
      </w:r>
      <w:r w:rsidR="00F36D3F">
        <w:rPr>
          <w:rFonts w:ascii="Times New Roman" w:hAnsi="Times New Roman" w:cs="Times New Roman"/>
          <w:sz w:val="24"/>
          <w:szCs w:val="24"/>
        </w:rPr>
        <w:t xml:space="preserve">short- and long-term </w:t>
      </w:r>
      <w:r w:rsidR="00461E47">
        <w:rPr>
          <w:rFonts w:ascii="Times New Roman" w:hAnsi="Times New Roman" w:cs="Times New Roman"/>
          <w:sz w:val="24"/>
          <w:szCs w:val="24"/>
        </w:rPr>
        <w:t xml:space="preserve">wellbeing. </w:t>
      </w:r>
      <w:r w:rsidR="00F36D3F">
        <w:rPr>
          <w:rFonts w:ascii="Times New Roman" w:hAnsi="Times New Roman" w:cs="Times New Roman"/>
          <w:sz w:val="24"/>
          <w:szCs w:val="24"/>
        </w:rPr>
        <w:t>The effects of international trade shocks are not gender-neutral</w:t>
      </w:r>
      <w:r w:rsidR="00287BA0">
        <w:rPr>
          <w:rFonts w:ascii="Times New Roman" w:hAnsi="Times New Roman" w:cs="Times New Roman"/>
          <w:sz w:val="24"/>
          <w:szCs w:val="24"/>
        </w:rPr>
        <w:t>:</w:t>
      </w:r>
      <w:r w:rsidR="00F36D3F">
        <w:rPr>
          <w:rFonts w:ascii="Times New Roman" w:hAnsi="Times New Roman" w:cs="Times New Roman"/>
          <w:sz w:val="24"/>
          <w:szCs w:val="24"/>
        </w:rPr>
        <w:t xml:space="preserve"> positive shocks to women’s earnings are beneficial for children’s welfare; the opposite is true for positive shocks to men’s earnings.</w:t>
      </w:r>
    </w:p>
    <w:p w14:paraId="2E016B3A" w14:textId="77777777" w:rsidR="00A31932" w:rsidRPr="007326DD" w:rsidRDefault="00A31932" w:rsidP="00DB59C2">
      <w:pPr>
        <w:spacing w:after="0" w:line="240" w:lineRule="auto"/>
        <w:jc w:val="both"/>
        <w:rPr>
          <w:rFonts w:ascii="Times New Roman" w:hAnsi="Times New Roman" w:cs="Times New Roman"/>
        </w:rPr>
      </w:pPr>
      <w:r w:rsidRPr="007326DD">
        <w:rPr>
          <w:rFonts w:ascii="Times New Roman" w:hAnsi="Times New Roman" w:cs="Times New Roman"/>
        </w:rPr>
        <w:t>Table 1: Descriptive statistics of main outcome variables; standard deviations in parentheses</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50"/>
        <w:gridCol w:w="1084"/>
        <w:gridCol w:w="893"/>
        <w:gridCol w:w="1213"/>
        <w:gridCol w:w="851"/>
        <w:gridCol w:w="936"/>
        <w:gridCol w:w="153"/>
        <w:gridCol w:w="766"/>
        <w:gridCol w:w="1108"/>
      </w:tblGrid>
      <w:tr w:rsidR="00C47D94" w:rsidRPr="00C47D94" w14:paraId="7C82B413" w14:textId="648F650E" w:rsidTr="00C47D94">
        <w:trPr>
          <w:cantSplit/>
        </w:trPr>
        <w:tc>
          <w:tcPr>
            <w:tcW w:w="752" w:type="pct"/>
            <w:tcBorders>
              <w:top w:val="single" w:sz="4" w:space="0" w:color="auto"/>
              <w:left w:val="nil"/>
              <w:bottom w:val="single" w:sz="4" w:space="0" w:color="auto"/>
              <w:right w:val="nil"/>
            </w:tcBorders>
            <w:shd w:val="clear" w:color="auto" w:fill="auto"/>
            <w:noWrap/>
            <w:vAlign w:val="center"/>
          </w:tcPr>
          <w:p w14:paraId="05B8A0F0" w14:textId="77777777" w:rsidR="00C47D94" w:rsidRPr="00C47D94" w:rsidRDefault="00C47D94" w:rsidP="007326DD">
            <w:pPr>
              <w:pStyle w:val="NoSpacing"/>
              <w:ind w:right="34"/>
              <w:rPr>
                <w:rFonts w:ascii="Times New Roman" w:hAnsi="Times New Roman" w:cs="Times New Roman"/>
                <w:sz w:val="20"/>
                <w:szCs w:val="20"/>
              </w:rPr>
            </w:pPr>
          </w:p>
        </w:tc>
        <w:tc>
          <w:tcPr>
            <w:tcW w:w="1024" w:type="pct"/>
            <w:gridSpan w:val="2"/>
            <w:tcBorders>
              <w:top w:val="single" w:sz="4" w:space="0" w:color="auto"/>
              <w:left w:val="nil"/>
              <w:bottom w:val="single" w:sz="4" w:space="0" w:color="auto"/>
              <w:right w:val="nil"/>
            </w:tcBorders>
            <w:shd w:val="clear" w:color="auto" w:fill="auto"/>
            <w:noWrap/>
            <w:vAlign w:val="center"/>
          </w:tcPr>
          <w:p w14:paraId="1702D2E8" w14:textId="77777777" w:rsidR="00C47D94" w:rsidRPr="00C47D94" w:rsidRDefault="00C47D94" w:rsidP="007326DD">
            <w:pPr>
              <w:pStyle w:val="NoSpacing"/>
              <w:ind w:right="34"/>
              <w:jc w:val="center"/>
              <w:rPr>
                <w:rFonts w:ascii="Times New Roman" w:hAnsi="Times New Roman" w:cs="Times New Roman"/>
                <w:sz w:val="20"/>
                <w:szCs w:val="20"/>
              </w:rPr>
            </w:pPr>
            <w:r w:rsidRPr="00C47D94">
              <w:rPr>
                <w:rFonts w:ascii="Times New Roman" w:hAnsi="Times New Roman" w:cs="Times New Roman"/>
                <w:sz w:val="20"/>
                <w:szCs w:val="20"/>
              </w:rPr>
              <w:t>Full sample</w:t>
            </w:r>
          </w:p>
        </w:tc>
        <w:tc>
          <w:tcPr>
            <w:tcW w:w="1116" w:type="pct"/>
            <w:gridSpan w:val="2"/>
            <w:tcBorders>
              <w:top w:val="single" w:sz="4" w:space="0" w:color="auto"/>
              <w:left w:val="nil"/>
              <w:bottom w:val="single" w:sz="4" w:space="0" w:color="auto"/>
              <w:right w:val="nil"/>
            </w:tcBorders>
            <w:shd w:val="clear" w:color="auto" w:fill="auto"/>
            <w:noWrap/>
            <w:vAlign w:val="center"/>
          </w:tcPr>
          <w:p w14:paraId="6261DF34"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Good wheat conditions</w:t>
            </w:r>
          </w:p>
        </w:tc>
        <w:tc>
          <w:tcPr>
            <w:tcW w:w="1001" w:type="pct"/>
            <w:gridSpan w:val="2"/>
            <w:tcBorders>
              <w:top w:val="single" w:sz="4" w:space="0" w:color="auto"/>
              <w:left w:val="nil"/>
              <w:bottom w:val="single" w:sz="4" w:space="0" w:color="auto"/>
              <w:right w:val="nil"/>
            </w:tcBorders>
            <w:shd w:val="clear" w:color="auto" w:fill="auto"/>
            <w:noWrap/>
            <w:vAlign w:val="center"/>
          </w:tcPr>
          <w:p w14:paraId="5FBCAE52" w14:textId="77777777" w:rsidR="00C47D94" w:rsidRPr="00C47D94" w:rsidRDefault="00C47D94" w:rsidP="007326DD">
            <w:pPr>
              <w:pStyle w:val="NoSpacing"/>
              <w:ind w:right="34"/>
              <w:jc w:val="center"/>
              <w:rPr>
                <w:rFonts w:ascii="Times New Roman" w:hAnsi="Times New Roman" w:cs="Times New Roman"/>
                <w:sz w:val="20"/>
                <w:szCs w:val="20"/>
              </w:rPr>
            </w:pPr>
            <w:r w:rsidRPr="00C47D94">
              <w:rPr>
                <w:rFonts w:ascii="Times New Roman" w:hAnsi="Times New Roman" w:cs="Times New Roman"/>
                <w:sz w:val="20"/>
                <w:szCs w:val="20"/>
              </w:rPr>
              <w:t>&gt;50% forest</w:t>
            </w:r>
          </w:p>
        </w:tc>
        <w:tc>
          <w:tcPr>
            <w:tcW w:w="1106" w:type="pct"/>
            <w:gridSpan w:val="3"/>
            <w:tcBorders>
              <w:top w:val="single" w:sz="4" w:space="0" w:color="auto"/>
              <w:left w:val="nil"/>
              <w:bottom w:val="single" w:sz="4" w:space="0" w:color="auto"/>
              <w:right w:val="nil"/>
            </w:tcBorders>
            <w:shd w:val="clear" w:color="auto" w:fill="auto"/>
            <w:noWrap/>
            <w:vAlign w:val="center"/>
          </w:tcPr>
          <w:p w14:paraId="6C24AD70" w14:textId="667B38E0" w:rsidR="00C47D94" w:rsidRPr="00C47D94" w:rsidRDefault="00C47D94" w:rsidP="00E55EFB">
            <w:pPr>
              <w:spacing w:after="0" w:line="240" w:lineRule="auto"/>
              <w:rPr>
                <w:rFonts w:ascii="Times New Roman" w:hAnsi="Times New Roman" w:cs="Times New Roman"/>
                <w:sz w:val="20"/>
                <w:szCs w:val="20"/>
              </w:rPr>
            </w:pPr>
            <w:r w:rsidRPr="00C47D94">
              <w:rPr>
                <w:rFonts w:ascii="Times New Roman" w:hAnsi="Times New Roman" w:cs="Times New Roman"/>
                <w:sz w:val="20"/>
                <w:szCs w:val="20"/>
              </w:rPr>
              <w:t>Good cattle conditions</w:t>
            </w:r>
          </w:p>
        </w:tc>
      </w:tr>
      <w:tr w:rsidR="00C47D94" w:rsidRPr="00C47D94" w14:paraId="2FBDE2F1" w14:textId="77777777" w:rsidTr="00C47D94">
        <w:trPr>
          <w:cantSplit/>
        </w:trPr>
        <w:tc>
          <w:tcPr>
            <w:tcW w:w="752" w:type="pct"/>
            <w:tcBorders>
              <w:top w:val="single" w:sz="4" w:space="0" w:color="auto"/>
              <w:left w:val="nil"/>
              <w:bottom w:val="single" w:sz="4" w:space="0" w:color="auto"/>
              <w:right w:val="nil"/>
            </w:tcBorders>
            <w:shd w:val="clear" w:color="auto" w:fill="auto"/>
            <w:noWrap/>
            <w:vAlign w:val="center"/>
          </w:tcPr>
          <w:p w14:paraId="3D432C19" w14:textId="77777777" w:rsidR="00C47D94" w:rsidRPr="00C47D94" w:rsidRDefault="00C47D94" w:rsidP="007326DD">
            <w:pPr>
              <w:pStyle w:val="NoSpacing"/>
              <w:ind w:right="34"/>
              <w:jc w:val="center"/>
              <w:rPr>
                <w:rFonts w:ascii="Times New Roman" w:hAnsi="Times New Roman" w:cs="Times New Roman"/>
                <w:sz w:val="20"/>
                <w:szCs w:val="20"/>
              </w:rPr>
            </w:pPr>
          </w:p>
        </w:tc>
        <w:tc>
          <w:tcPr>
            <w:tcW w:w="450" w:type="pct"/>
            <w:tcBorders>
              <w:top w:val="single" w:sz="4" w:space="0" w:color="auto"/>
              <w:left w:val="nil"/>
              <w:bottom w:val="single" w:sz="4" w:space="0" w:color="auto"/>
              <w:right w:val="nil"/>
            </w:tcBorders>
            <w:shd w:val="clear" w:color="auto" w:fill="auto"/>
            <w:noWrap/>
            <w:vAlign w:val="center"/>
          </w:tcPr>
          <w:p w14:paraId="54FF83D6" w14:textId="77777777" w:rsidR="00C47D94" w:rsidRPr="00C47D94" w:rsidRDefault="00C47D94" w:rsidP="007326DD">
            <w:pPr>
              <w:pStyle w:val="NoSpacing"/>
              <w:ind w:right="34"/>
              <w:jc w:val="center"/>
              <w:rPr>
                <w:rFonts w:ascii="Times New Roman" w:hAnsi="Times New Roman" w:cs="Times New Roman"/>
                <w:sz w:val="20"/>
                <w:szCs w:val="20"/>
              </w:rPr>
            </w:pPr>
            <w:r w:rsidRPr="00C47D94">
              <w:rPr>
                <w:rFonts w:ascii="Times New Roman" w:hAnsi="Times New Roman" w:cs="Times New Roman"/>
                <w:sz w:val="20"/>
                <w:szCs w:val="20"/>
              </w:rPr>
              <w:t>N</w:t>
            </w:r>
          </w:p>
        </w:tc>
        <w:tc>
          <w:tcPr>
            <w:tcW w:w="574" w:type="pct"/>
            <w:tcBorders>
              <w:top w:val="single" w:sz="4" w:space="0" w:color="auto"/>
              <w:left w:val="nil"/>
              <w:bottom w:val="single" w:sz="4" w:space="0" w:color="auto"/>
              <w:right w:val="nil"/>
            </w:tcBorders>
            <w:shd w:val="clear" w:color="auto" w:fill="auto"/>
            <w:noWrap/>
            <w:vAlign w:val="center"/>
          </w:tcPr>
          <w:p w14:paraId="697190E4" w14:textId="77777777" w:rsidR="00C47D94" w:rsidRPr="00C47D94" w:rsidRDefault="00C47D94" w:rsidP="007326DD">
            <w:pPr>
              <w:pStyle w:val="NoSpacing"/>
              <w:ind w:right="34"/>
              <w:jc w:val="center"/>
              <w:rPr>
                <w:rFonts w:ascii="Times New Roman" w:hAnsi="Times New Roman" w:cs="Times New Roman"/>
                <w:sz w:val="20"/>
                <w:szCs w:val="20"/>
              </w:rPr>
            </w:pPr>
            <w:r w:rsidRPr="00C47D94">
              <w:rPr>
                <w:rFonts w:ascii="Times New Roman" w:hAnsi="Times New Roman" w:cs="Times New Roman"/>
                <w:sz w:val="20"/>
                <w:szCs w:val="20"/>
              </w:rPr>
              <w:t>Mean</w:t>
            </w:r>
          </w:p>
        </w:tc>
        <w:tc>
          <w:tcPr>
            <w:tcW w:w="473" w:type="pct"/>
            <w:tcBorders>
              <w:top w:val="single" w:sz="4" w:space="0" w:color="auto"/>
              <w:left w:val="nil"/>
              <w:bottom w:val="single" w:sz="4" w:space="0" w:color="auto"/>
              <w:right w:val="nil"/>
            </w:tcBorders>
            <w:shd w:val="clear" w:color="auto" w:fill="auto"/>
            <w:noWrap/>
            <w:vAlign w:val="center"/>
          </w:tcPr>
          <w:p w14:paraId="44D06719" w14:textId="77777777" w:rsidR="00C47D94" w:rsidRPr="00C47D94" w:rsidRDefault="00C47D94" w:rsidP="007326DD">
            <w:pPr>
              <w:pStyle w:val="NoSpacing"/>
              <w:ind w:right="34"/>
              <w:jc w:val="center"/>
              <w:rPr>
                <w:rFonts w:ascii="Times New Roman" w:hAnsi="Times New Roman" w:cs="Times New Roman"/>
                <w:sz w:val="20"/>
                <w:szCs w:val="20"/>
              </w:rPr>
            </w:pPr>
            <w:r w:rsidRPr="00C47D94">
              <w:rPr>
                <w:rFonts w:ascii="Times New Roman" w:hAnsi="Times New Roman" w:cs="Times New Roman"/>
                <w:sz w:val="20"/>
                <w:szCs w:val="20"/>
              </w:rPr>
              <w:t>N</w:t>
            </w:r>
          </w:p>
        </w:tc>
        <w:tc>
          <w:tcPr>
            <w:tcW w:w="643" w:type="pct"/>
            <w:tcBorders>
              <w:top w:val="single" w:sz="4" w:space="0" w:color="auto"/>
              <w:left w:val="nil"/>
              <w:bottom w:val="single" w:sz="4" w:space="0" w:color="auto"/>
              <w:right w:val="nil"/>
            </w:tcBorders>
            <w:shd w:val="clear" w:color="auto" w:fill="auto"/>
            <w:noWrap/>
            <w:vAlign w:val="center"/>
          </w:tcPr>
          <w:p w14:paraId="0A1015FB" w14:textId="77777777" w:rsidR="00C47D94" w:rsidRPr="00C47D94" w:rsidRDefault="00C47D94" w:rsidP="007326DD">
            <w:pPr>
              <w:pStyle w:val="NoSpacing"/>
              <w:ind w:right="34"/>
              <w:jc w:val="center"/>
              <w:rPr>
                <w:rFonts w:ascii="Times New Roman" w:hAnsi="Times New Roman" w:cs="Times New Roman"/>
                <w:sz w:val="20"/>
                <w:szCs w:val="20"/>
              </w:rPr>
            </w:pPr>
            <w:r w:rsidRPr="00C47D94">
              <w:rPr>
                <w:rFonts w:ascii="Times New Roman" w:hAnsi="Times New Roman" w:cs="Times New Roman"/>
                <w:sz w:val="20"/>
                <w:szCs w:val="20"/>
              </w:rPr>
              <w:t>Mean</w:t>
            </w:r>
          </w:p>
        </w:tc>
        <w:tc>
          <w:tcPr>
            <w:tcW w:w="479" w:type="pct"/>
            <w:tcBorders>
              <w:top w:val="single" w:sz="4" w:space="0" w:color="auto"/>
              <w:left w:val="nil"/>
              <w:bottom w:val="single" w:sz="4" w:space="0" w:color="auto"/>
              <w:right w:val="nil"/>
            </w:tcBorders>
            <w:shd w:val="clear" w:color="auto" w:fill="auto"/>
            <w:noWrap/>
            <w:vAlign w:val="center"/>
          </w:tcPr>
          <w:p w14:paraId="2628073E" w14:textId="2E99311A" w:rsidR="00C47D94" w:rsidRPr="00C47D94" w:rsidRDefault="00C47D94" w:rsidP="007326DD">
            <w:pPr>
              <w:pStyle w:val="NoSpacing"/>
              <w:ind w:right="34"/>
              <w:jc w:val="center"/>
              <w:rPr>
                <w:rFonts w:ascii="Times New Roman" w:hAnsi="Times New Roman" w:cs="Times New Roman"/>
                <w:sz w:val="20"/>
                <w:szCs w:val="20"/>
              </w:rPr>
            </w:pPr>
            <w:r w:rsidRPr="00C47D94">
              <w:rPr>
                <w:rFonts w:ascii="Times New Roman" w:hAnsi="Times New Roman" w:cs="Times New Roman"/>
                <w:sz w:val="20"/>
                <w:szCs w:val="20"/>
              </w:rPr>
              <w:t>N</w:t>
            </w:r>
          </w:p>
        </w:tc>
        <w:tc>
          <w:tcPr>
            <w:tcW w:w="605" w:type="pct"/>
            <w:gridSpan w:val="2"/>
            <w:tcBorders>
              <w:top w:val="single" w:sz="4" w:space="0" w:color="auto"/>
              <w:left w:val="nil"/>
              <w:bottom w:val="single" w:sz="4" w:space="0" w:color="auto"/>
              <w:right w:val="nil"/>
            </w:tcBorders>
            <w:vAlign w:val="center"/>
          </w:tcPr>
          <w:p w14:paraId="68AA8CD2" w14:textId="77777777" w:rsidR="00C47D94" w:rsidRPr="00C47D94" w:rsidRDefault="00C47D94" w:rsidP="007326DD">
            <w:pPr>
              <w:pStyle w:val="NoSpacing"/>
              <w:ind w:right="34"/>
              <w:jc w:val="center"/>
              <w:rPr>
                <w:rFonts w:ascii="Times New Roman" w:hAnsi="Times New Roman" w:cs="Times New Roman"/>
                <w:sz w:val="20"/>
                <w:szCs w:val="20"/>
              </w:rPr>
            </w:pPr>
            <w:r w:rsidRPr="00C47D94">
              <w:rPr>
                <w:rFonts w:ascii="Times New Roman" w:hAnsi="Times New Roman" w:cs="Times New Roman"/>
                <w:sz w:val="20"/>
                <w:szCs w:val="20"/>
              </w:rPr>
              <w:t>Mean</w:t>
            </w:r>
          </w:p>
        </w:tc>
        <w:tc>
          <w:tcPr>
            <w:tcW w:w="418" w:type="pct"/>
            <w:tcBorders>
              <w:top w:val="single" w:sz="4" w:space="0" w:color="auto"/>
              <w:left w:val="nil"/>
              <w:bottom w:val="single" w:sz="4" w:space="0" w:color="auto"/>
              <w:right w:val="nil"/>
            </w:tcBorders>
            <w:shd w:val="clear" w:color="auto" w:fill="auto"/>
            <w:noWrap/>
            <w:vAlign w:val="center"/>
          </w:tcPr>
          <w:p w14:paraId="71E93013" w14:textId="77777777" w:rsidR="00C47D94" w:rsidRPr="00C47D94" w:rsidRDefault="00C47D94" w:rsidP="007326DD">
            <w:pPr>
              <w:pStyle w:val="NoSpacing"/>
              <w:ind w:right="34"/>
              <w:jc w:val="center"/>
              <w:rPr>
                <w:rFonts w:ascii="Times New Roman" w:hAnsi="Times New Roman" w:cs="Times New Roman"/>
                <w:sz w:val="20"/>
                <w:szCs w:val="20"/>
              </w:rPr>
            </w:pPr>
            <w:r w:rsidRPr="00C47D94">
              <w:rPr>
                <w:rFonts w:ascii="Times New Roman" w:hAnsi="Times New Roman" w:cs="Times New Roman"/>
                <w:sz w:val="20"/>
                <w:szCs w:val="20"/>
              </w:rPr>
              <w:t>N</w:t>
            </w:r>
          </w:p>
        </w:tc>
        <w:tc>
          <w:tcPr>
            <w:tcW w:w="605" w:type="pct"/>
            <w:tcBorders>
              <w:top w:val="single" w:sz="4" w:space="0" w:color="auto"/>
              <w:left w:val="nil"/>
              <w:bottom w:val="single" w:sz="4" w:space="0" w:color="auto"/>
              <w:right w:val="nil"/>
            </w:tcBorders>
            <w:shd w:val="clear" w:color="auto" w:fill="auto"/>
            <w:noWrap/>
            <w:vAlign w:val="center"/>
          </w:tcPr>
          <w:p w14:paraId="19E6364D" w14:textId="77777777" w:rsidR="00C47D94" w:rsidRPr="00C47D94" w:rsidRDefault="00C47D94" w:rsidP="007326DD">
            <w:pPr>
              <w:pStyle w:val="NoSpacing"/>
              <w:ind w:right="34"/>
              <w:jc w:val="center"/>
              <w:rPr>
                <w:rFonts w:ascii="Times New Roman" w:hAnsi="Times New Roman" w:cs="Times New Roman"/>
                <w:sz w:val="20"/>
                <w:szCs w:val="20"/>
              </w:rPr>
            </w:pPr>
            <w:r w:rsidRPr="00C47D94">
              <w:rPr>
                <w:rFonts w:ascii="Times New Roman" w:hAnsi="Times New Roman" w:cs="Times New Roman"/>
                <w:sz w:val="20"/>
                <w:szCs w:val="20"/>
              </w:rPr>
              <w:t>Mean</w:t>
            </w:r>
          </w:p>
        </w:tc>
      </w:tr>
      <w:tr w:rsidR="00C47D94" w:rsidRPr="00C47D94" w14:paraId="7A273A9E" w14:textId="77777777" w:rsidTr="00C47D94">
        <w:trPr>
          <w:cantSplit/>
        </w:trPr>
        <w:tc>
          <w:tcPr>
            <w:tcW w:w="752" w:type="pct"/>
            <w:tcBorders>
              <w:top w:val="single" w:sz="4" w:space="0" w:color="auto"/>
              <w:left w:val="nil"/>
              <w:bottom w:val="nil"/>
              <w:right w:val="nil"/>
            </w:tcBorders>
            <w:shd w:val="clear" w:color="auto" w:fill="auto"/>
            <w:noWrap/>
            <w:vAlign w:val="center"/>
            <w:hideMark/>
          </w:tcPr>
          <w:p w14:paraId="22B80F85" w14:textId="4AB9C7F5"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Child death</w:t>
            </w:r>
          </w:p>
        </w:tc>
        <w:tc>
          <w:tcPr>
            <w:tcW w:w="450" w:type="pct"/>
            <w:tcBorders>
              <w:top w:val="single" w:sz="4" w:space="0" w:color="auto"/>
              <w:left w:val="nil"/>
              <w:bottom w:val="nil"/>
              <w:right w:val="nil"/>
            </w:tcBorders>
            <w:shd w:val="clear" w:color="auto" w:fill="auto"/>
            <w:noWrap/>
            <w:vAlign w:val="center"/>
            <w:hideMark/>
          </w:tcPr>
          <w:p w14:paraId="0A381E3D" w14:textId="77777777" w:rsidR="00C47D94" w:rsidRPr="00C47D94" w:rsidRDefault="00C47D94" w:rsidP="007326DD">
            <w:pPr>
              <w:pStyle w:val="NoSpacing"/>
              <w:ind w:left="-392" w:right="34" w:firstLine="392"/>
              <w:rPr>
                <w:rFonts w:ascii="Times New Roman" w:hAnsi="Times New Roman" w:cs="Times New Roman"/>
                <w:sz w:val="20"/>
                <w:szCs w:val="20"/>
              </w:rPr>
            </w:pPr>
            <w:r w:rsidRPr="00C47D94">
              <w:rPr>
                <w:rFonts w:ascii="Times New Roman" w:hAnsi="Times New Roman" w:cs="Times New Roman"/>
                <w:sz w:val="20"/>
                <w:szCs w:val="20"/>
              </w:rPr>
              <w:t>248781</w:t>
            </w:r>
          </w:p>
        </w:tc>
        <w:tc>
          <w:tcPr>
            <w:tcW w:w="574" w:type="pct"/>
            <w:tcBorders>
              <w:top w:val="single" w:sz="4" w:space="0" w:color="auto"/>
              <w:left w:val="nil"/>
              <w:bottom w:val="nil"/>
              <w:right w:val="nil"/>
            </w:tcBorders>
            <w:shd w:val="clear" w:color="auto" w:fill="auto"/>
            <w:noWrap/>
            <w:vAlign w:val="center"/>
            <w:hideMark/>
          </w:tcPr>
          <w:p w14:paraId="25ECB120" w14:textId="16835F6D"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0.045[.20]</w:t>
            </w:r>
          </w:p>
        </w:tc>
        <w:tc>
          <w:tcPr>
            <w:tcW w:w="473" w:type="pct"/>
            <w:tcBorders>
              <w:top w:val="single" w:sz="4" w:space="0" w:color="auto"/>
              <w:left w:val="nil"/>
              <w:bottom w:val="nil"/>
              <w:right w:val="nil"/>
            </w:tcBorders>
            <w:shd w:val="clear" w:color="auto" w:fill="auto"/>
            <w:noWrap/>
            <w:vAlign w:val="center"/>
            <w:hideMark/>
          </w:tcPr>
          <w:p w14:paraId="0453DD7D"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102720</w:t>
            </w:r>
          </w:p>
        </w:tc>
        <w:tc>
          <w:tcPr>
            <w:tcW w:w="643" w:type="pct"/>
            <w:tcBorders>
              <w:top w:val="single" w:sz="4" w:space="0" w:color="auto"/>
              <w:left w:val="nil"/>
              <w:bottom w:val="nil"/>
              <w:right w:val="nil"/>
            </w:tcBorders>
            <w:shd w:val="clear" w:color="auto" w:fill="auto"/>
            <w:noWrap/>
            <w:vAlign w:val="center"/>
            <w:hideMark/>
          </w:tcPr>
          <w:p w14:paraId="2064B51E" w14:textId="5F4AD334"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0.040[.19]</w:t>
            </w:r>
          </w:p>
        </w:tc>
        <w:tc>
          <w:tcPr>
            <w:tcW w:w="479" w:type="pct"/>
            <w:tcBorders>
              <w:top w:val="single" w:sz="4" w:space="0" w:color="auto"/>
              <w:left w:val="nil"/>
              <w:bottom w:val="nil"/>
              <w:right w:val="nil"/>
            </w:tcBorders>
            <w:shd w:val="clear" w:color="auto" w:fill="auto"/>
            <w:noWrap/>
            <w:vAlign w:val="center"/>
            <w:hideMark/>
          </w:tcPr>
          <w:p w14:paraId="5284F5EC"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119280</w:t>
            </w:r>
          </w:p>
        </w:tc>
        <w:tc>
          <w:tcPr>
            <w:tcW w:w="605" w:type="pct"/>
            <w:gridSpan w:val="2"/>
            <w:tcBorders>
              <w:top w:val="single" w:sz="4" w:space="0" w:color="auto"/>
              <w:left w:val="nil"/>
              <w:bottom w:val="nil"/>
              <w:right w:val="nil"/>
            </w:tcBorders>
            <w:vAlign w:val="center"/>
          </w:tcPr>
          <w:p w14:paraId="51DB3726" w14:textId="6724E943"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0.051[.22]</w:t>
            </w:r>
          </w:p>
        </w:tc>
        <w:tc>
          <w:tcPr>
            <w:tcW w:w="418" w:type="pct"/>
            <w:tcBorders>
              <w:top w:val="single" w:sz="4" w:space="0" w:color="auto"/>
              <w:left w:val="nil"/>
              <w:bottom w:val="nil"/>
              <w:right w:val="nil"/>
            </w:tcBorders>
            <w:shd w:val="clear" w:color="auto" w:fill="auto"/>
            <w:noWrap/>
            <w:vAlign w:val="center"/>
            <w:hideMark/>
          </w:tcPr>
          <w:p w14:paraId="61DF9388" w14:textId="587202CD" w:rsidR="00C47D94" w:rsidRPr="00C47D94" w:rsidRDefault="00C47D94" w:rsidP="007326DD">
            <w:pPr>
              <w:pStyle w:val="NoSpacing"/>
              <w:ind w:right="34"/>
              <w:rPr>
                <w:rFonts w:ascii="Times New Roman" w:hAnsi="Times New Roman" w:cs="Times New Roman"/>
                <w:sz w:val="20"/>
                <w:szCs w:val="20"/>
                <w:highlight w:val="yellow"/>
              </w:rPr>
            </w:pPr>
            <w:r w:rsidRPr="00C47D94">
              <w:rPr>
                <w:rFonts w:ascii="Times New Roman" w:hAnsi="Times New Roman" w:cs="Times New Roman"/>
                <w:sz w:val="20"/>
                <w:szCs w:val="20"/>
              </w:rPr>
              <w:t>59002</w:t>
            </w:r>
          </w:p>
        </w:tc>
        <w:tc>
          <w:tcPr>
            <w:tcW w:w="605" w:type="pct"/>
            <w:tcBorders>
              <w:top w:val="single" w:sz="4" w:space="0" w:color="auto"/>
              <w:left w:val="nil"/>
              <w:bottom w:val="nil"/>
              <w:right w:val="nil"/>
            </w:tcBorders>
            <w:shd w:val="clear" w:color="auto" w:fill="auto"/>
            <w:noWrap/>
            <w:vAlign w:val="center"/>
            <w:hideMark/>
          </w:tcPr>
          <w:p w14:paraId="592BA35E" w14:textId="0E158B35"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0.036[.18]</w:t>
            </w:r>
          </w:p>
        </w:tc>
      </w:tr>
      <w:tr w:rsidR="00C47D94" w:rsidRPr="00C47D94" w14:paraId="0DFE5DA9" w14:textId="77777777" w:rsidTr="00C47D94">
        <w:trPr>
          <w:cantSplit/>
        </w:trPr>
        <w:tc>
          <w:tcPr>
            <w:tcW w:w="752" w:type="pct"/>
            <w:tcBorders>
              <w:top w:val="nil"/>
              <w:left w:val="nil"/>
              <w:bottom w:val="nil"/>
              <w:right w:val="nil"/>
            </w:tcBorders>
            <w:shd w:val="clear" w:color="auto" w:fill="auto"/>
            <w:noWrap/>
            <w:vAlign w:val="center"/>
            <w:hideMark/>
          </w:tcPr>
          <w:p w14:paraId="1145260B"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Illegitimate birth</w:t>
            </w:r>
          </w:p>
        </w:tc>
        <w:tc>
          <w:tcPr>
            <w:tcW w:w="450" w:type="pct"/>
            <w:tcBorders>
              <w:top w:val="nil"/>
              <w:left w:val="nil"/>
              <w:bottom w:val="nil"/>
              <w:right w:val="nil"/>
            </w:tcBorders>
            <w:shd w:val="clear" w:color="auto" w:fill="auto"/>
            <w:noWrap/>
            <w:vAlign w:val="center"/>
            <w:hideMark/>
          </w:tcPr>
          <w:p w14:paraId="24D13E67"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250229</w:t>
            </w:r>
          </w:p>
        </w:tc>
        <w:tc>
          <w:tcPr>
            <w:tcW w:w="574" w:type="pct"/>
            <w:tcBorders>
              <w:top w:val="nil"/>
              <w:left w:val="nil"/>
              <w:bottom w:val="nil"/>
              <w:right w:val="nil"/>
            </w:tcBorders>
            <w:shd w:val="clear" w:color="auto" w:fill="auto"/>
            <w:noWrap/>
            <w:vAlign w:val="center"/>
            <w:hideMark/>
          </w:tcPr>
          <w:p w14:paraId="0A53B70F" w14:textId="067D7879"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0.048[.22]</w:t>
            </w:r>
          </w:p>
        </w:tc>
        <w:tc>
          <w:tcPr>
            <w:tcW w:w="473" w:type="pct"/>
            <w:tcBorders>
              <w:top w:val="nil"/>
              <w:left w:val="nil"/>
              <w:bottom w:val="nil"/>
              <w:right w:val="nil"/>
            </w:tcBorders>
            <w:shd w:val="clear" w:color="auto" w:fill="auto"/>
            <w:noWrap/>
            <w:vAlign w:val="center"/>
            <w:hideMark/>
          </w:tcPr>
          <w:p w14:paraId="48A2726C"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103181</w:t>
            </w:r>
          </w:p>
        </w:tc>
        <w:tc>
          <w:tcPr>
            <w:tcW w:w="643" w:type="pct"/>
            <w:tcBorders>
              <w:top w:val="nil"/>
              <w:left w:val="nil"/>
              <w:bottom w:val="nil"/>
              <w:right w:val="nil"/>
            </w:tcBorders>
            <w:shd w:val="clear" w:color="auto" w:fill="auto"/>
            <w:noWrap/>
            <w:vAlign w:val="center"/>
            <w:hideMark/>
          </w:tcPr>
          <w:p w14:paraId="1B0C6703" w14:textId="5C12FB98"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0.038[.19]</w:t>
            </w:r>
          </w:p>
        </w:tc>
        <w:tc>
          <w:tcPr>
            <w:tcW w:w="479" w:type="pct"/>
            <w:tcBorders>
              <w:top w:val="nil"/>
              <w:left w:val="nil"/>
              <w:bottom w:val="nil"/>
              <w:right w:val="nil"/>
            </w:tcBorders>
            <w:shd w:val="clear" w:color="auto" w:fill="auto"/>
            <w:noWrap/>
            <w:vAlign w:val="center"/>
            <w:hideMark/>
          </w:tcPr>
          <w:p w14:paraId="45D8A665"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120078</w:t>
            </w:r>
          </w:p>
        </w:tc>
        <w:tc>
          <w:tcPr>
            <w:tcW w:w="605" w:type="pct"/>
            <w:gridSpan w:val="2"/>
            <w:tcBorders>
              <w:top w:val="nil"/>
              <w:left w:val="nil"/>
              <w:bottom w:val="nil"/>
              <w:right w:val="nil"/>
            </w:tcBorders>
            <w:vAlign w:val="center"/>
          </w:tcPr>
          <w:p w14:paraId="23745566" w14:textId="71FB80D9"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0.050[.22]</w:t>
            </w:r>
          </w:p>
        </w:tc>
        <w:tc>
          <w:tcPr>
            <w:tcW w:w="418" w:type="pct"/>
            <w:tcBorders>
              <w:top w:val="nil"/>
              <w:left w:val="nil"/>
              <w:bottom w:val="nil"/>
              <w:right w:val="nil"/>
            </w:tcBorders>
            <w:shd w:val="clear" w:color="auto" w:fill="auto"/>
            <w:noWrap/>
            <w:vAlign w:val="center"/>
            <w:hideMark/>
          </w:tcPr>
          <w:p w14:paraId="40FCE253" w14:textId="28E25B13" w:rsidR="00C47D94" w:rsidRPr="00C47D94" w:rsidRDefault="00C47D94" w:rsidP="007326DD">
            <w:pPr>
              <w:pStyle w:val="NoSpacing"/>
              <w:ind w:right="34"/>
              <w:rPr>
                <w:rFonts w:ascii="Times New Roman" w:hAnsi="Times New Roman" w:cs="Times New Roman"/>
                <w:sz w:val="20"/>
                <w:szCs w:val="20"/>
                <w:highlight w:val="yellow"/>
              </w:rPr>
            </w:pPr>
            <w:r w:rsidRPr="00C47D94">
              <w:rPr>
                <w:rFonts w:ascii="Times New Roman" w:hAnsi="Times New Roman" w:cs="Times New Roman"/>
                <w:sz w:val="20"/>
                <w:szCs w:val="20"/>
              </w:rPr>
              <w:t>59224</w:t>
            </w:r>
          </w:p>
        </w:tc>
        <w:tc>
          <w:tcPr>
            <w:tcW w:w="605" w:type="pct"/>
            <w:tcBorders>
              <w:top w:val="nil"/>
              <w:left w:val="nil"/>
              <w:bottom w:val="nil"/>
              <w:right w:val="nil"/>
            </w:tcBorders>
            <w:shd w:val="clear" w:color="auto" w:fill="auto"/>
            <w:noWrap/>
            <w:vAlign w:val="center"/>
            <w:hideMark/>
          </w:tcPr>
          <w:p w14:paraId="408373CD" w14:textId="6B8A17E3"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0.034[.18]</w:t>
            </w:r>
          </w:p>
        </w:tc>
      </w:tr>
      <w:tr w:rsidR="00C47D94" w:rsidRPr="00C47D94" w14:paraId="6CEEB3ED" w14:textId="77777777" w:rsidTr="00C47D94">
        <w:trPr>
          <w:cantSplit/>
        </w:trPr>
        <w:tc>
          <w:tcPr>
            <w:tcW w:w="752" w:type="pct"/>
            <w:tcBorders>
              <w:top w:val="nil"/>
              <w:left w:val="nil"/>
              <w:bottom w:val="nil"/>
              <w:right w:val="nil"/>
            </w:tcBorders>
            <w:shd w:val="clear" w:color="auto" w:fill="auto"/>
            <w:noWrap/>
            <w:vAlign w:val="center"/>
            <w:hideMark/>
          </w:tcPr>
          <w:p w14:paraId="725BDC3B" w14:textId="639BA275"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Child vaccinated</w:t>
            </w:r>
          </w:p>
        </w:tc>
        <w:tc>
          <w:tcPr>
            <w:tcW w:w="450" w:type="pct"/>
            <w:tcBorders>
              <w:top w:val="nil"/>
              <w:left w:val="nil"/>
              <w:bottom w:val="nil"/>
              <w:right w:val="nil"/>
            </w:tcBorders>
            <w:shd w:val="clear" w:color="auto" w:fill="auto"/>
            <w:noWrap/>
            <w:vAlign w:val="center"/>
            <w:hideMark/>
          </w:tcPr>
          <w:p w14:paraId="491CBA58"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250229</w:t>
            </w:r>
          </w:p>
        </w:tc>
        <w:tc>
          <w:tcPr>
            <w:tcW w:w="574" w:type="pct"/>
            <w:tcBorders>
              <w:top w:val="nil"/>
              <w:left w:val="nil"/>
              <w:bottom w:val="nil"/>
              <w:right w:val="nil"/>
            </w:tcBorders>
            <w:shd w:val="clear" w:color="auto" w:fill="auto"/>
            <w:noWrap/>
            <w:vAlign w:val="center"/>
            <w:hideMark/>
          </w:tcPr>
          <w:p w14:paraId="6E25A5FF" w14:textId="4616CB11"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0.914[.28]</w:t>
            </w:r>
          </w:p>
        </w:tc>
        <w:tc>
          <w:tcPr>
            <w:tcW w:w="473" w:type="pct"/>
            <w:tcBorders>
              <w:top w:val="nil"/>
              <w:left w:val="nil"/>
              <w:bottom w:val="nil"/>
              <w:right w:val="nil"/>
            </w:tcBorders>
            <w:shd w:val="clear" w:color="auto" w:fill="auto"/>
            <w:noWrap/>
            <w:vAlign w:val="center"/>
            <w:hideMark/>
          </w:tcPr>
          <w:p w14:paraId="355E1449"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103181</w:t>
            </w:r>
          </w:p>
        </w:tc>
        <w:tc>
          <w:tcPr>
            <w:tcW w:w="643" w:type="pct"/>
            <w:tcBorders>
              <w:top w:val="nil"/>
              <w:left w:val="nil"/>
              <w:bottom w:val="nil"/>
              <w:right w:val="nil"/>
            </w:tcBorders>
            <w:shd w:val="clear" w:color="auto" w:fill="auto"/>
            <w:noWrap/>
            <w:vAlign w:val="center"/>
            <w:hideMark/>
          </w:tcPr>
          <w:p w14:paraId="753CF687" w14:textId="016007AC"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0.945[.23]</w:t>
            </w:r>
          </w:p>
        </w:tc>
        <w:tc>
          <w:tcPr>
            <w:tcW w:w="479" w:type="pct"/>
            <w:tcBorders>
              <w:top w:val="nil"/>
              <w:left w:val="nil"/>
              <w:bottom w:val="nil"/>
              <w:right w:val="nil"/>
            </w:tcBorders>
            <w:shd w:val="clear" w:color="auto" w:fill="auto"/>
            <w:noWrap/>
            <w:vAlign w:val="center"/>
            <w:hideMark/>
          </w:tcPr>
          <w:p w14:paraId="3ECA9A38"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120078</w:t>
            </w:r>
          </w:p>
        </w:tc>
        <w:tc>
          <w:tcPr>
            <w:tcW w:w="605" w:type="pct"/>
            <w:gridSpan w:val="2"/>
            <w:tcBorders>
              <w:top w:val="nil"/>
              <w:left w:val="nil"/>
              <w:bottom w:val="nil"/>
              <w:right w:val="nil"/>
            </w:tcBorders>
            <w:vAlign w:val="center"/>
          </w:tcPr>
          <w:p w14:paraId="7D8B35E0" w14:textId="588AFD51"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0.924[.26]</w:t>
            </w:r>
          </w:p>
        </w:tc>
        <w:tc>
          <w:tcPr>
            <w:tcW w:w="418" w:type="pct"/>
            <w:tcBorders>
              <w:top w:val="nil"/>
              <w:left w:val="nil"/>
              <w:bottom w:val="nil"/>
              <w:right w:val="nil"/>
            </w:tcBorders>
            <w:shd w:val="clear" w:color="auto" w:fill="auto"/>
            <w:noWrap/>
            <w:vAlign w:val="center"/>
            <w:hideMark/>
          </w:tcPr>
          <w:p w14:paraId="609EC2EA" w14:textId="0ECCB143" w:rsidR="00C47D94" w:rsidRPr="00C47D94" w:rsidRDefault="00C47D94" w:rsidP="007326DD">
            <w:pPr>
              <w:pStyle w:val="NoSpacing"/>
              <w:ind w:right="34"/>
              <w:rPr>
                <w:rFonts w:ascii="Times New Roman" w:hAnsi="Times New Roman" w:cs="Times New Roman"/>
                <w:sz w:val="20"/>
                <w:szCs w:val="20"/>
                <w:highlight w:val="yellow"/>
              </w:rPr>
            </w:pPr>
            <w:r w:rsidRPr="00C47D94">
              <w:rPr>
                <w:rFonts w:ascii="Times New Roman" w:hAnsi="Times New Roman" w:cs="Times New Roman"/>
                <w:sz w:val="20"/>
                <w:szCs w:val="20"/>
              </w:rPr>
              <w:t>59224</w:t>
            </w:r>
          </w:p>
        </w:tc>
        <w:tc>
          <w:tcPr>
            <w:tcW w:w="605" w:type="pct"/>
            <w:tcBorders>
              <w:top w:val="nil"/>
              <w:left w:val="nil"/>
              <w:bottom w:val="nil"/>
              <w:right w:val="nil"/>
            </w:tcBorders>
            <w:shd w:val="clear" w:color="auto" w:fill="auto"/>
            <w:noWrap/>
            <w:vAlign w:val="center"/>
            <w:hideMark/>
          </w:tcPr>
          <w:p w14:paraId="45A88477" w14:textId="2BC3630A"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0.95[.21]</w:t>
            </w:r>
          </w:p>
        </w:tc>
      </w:tr>
      <w:tr w:rsidR="00C47D94" w:rsidRPr="00C47D94" w14:paraId="11FEEAEC" w14:textId="77777777" w:rsidTr="00C47D94">
        <w:trPr>
          <w:cantSplit/>
        </w:trPr>
        <w:tc>
          <w:tcPr>
            <w:tcW w:w="752" w:type="pct"/>
            <w:tcBorders>
              <w:top w:val="nil"/>
              <w:left w:val="nil"/>
              <w:bottom w:val="nil"/>
              <w:right w:val="nil"/>
            </w:tcBorders>
            <w:shd w:val="clear" w:color="auto" w:fill="auto"/>
            <w:noWrap/>
            <w:vAlign w:val="center"/>
            <w:hideMark/>
          </w:tcPr>
          <w:p w14:paraId="5AFE1FD0"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Married</w:t>
            </w:r>
          </w:p>
        </w:tc>
        <w:tc>
          <w:tcPr>
            <w:tcW w:w="450" w:type="pct"/>
            <w:tcBorders>
              <w:top w:val="nil"/>
              <w:left w:val="nil"/>
              <w:bottom w:val="nil"/>
              <w:right w:val="nil"/>
            </w:tcBorders>
            <w:shd w:val="clear" w:color="auto" w:fill="auto"/>
            <w:noWrap/>
            <w:vAlign w:val="center"/>
            <w:hideMark/>
          </w:tcPr>
          <w:p w14:paraId="62174DA5"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150266</w:t>
            </w:r>
          </w:p>
        </w:tc>
        <w:tc>
          <w:tcPr>
            <w:tcW w:w="574" w:type="pct"/>
            <w:tcBorders>
              <w:top w:val="nil"/>
              <w:left w:val="nil"/>
              <w:bottom w:val="nil"/>
              <w:right w:val="nil"/>
            </w:tcBorders>
            <w:shd w:val="clear" w:color="auto" w:fill="auto"/>
            <w:noWrap/>
            <w:vAlign w:val="center"/>
            <w:hideMark/>
          </w:tcPr>
          <w:p w14:paraId="330AA00A" w14:textId="482675AE"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0.51[.50]</w:t>
            </w:r>
          </w:p>
        </w:tc>
        <w:tc>
          <w:tcPr>
            <w:tcW w:w="473" w:type="pct"/>
            <w:tcBorders>
              <w:top w:val="nil"/>
              <w:left w:val="nil"/>
              <w:bottom w:val="nil"/>
              <w:right w:val="nil"/>
            </w:tcBorders>
            <w:shd w:val="clear" w:color="auto" w:fill="auto"/>
            <w:noWrap/>
            <w:vAlign w:val="center"/>
            <w:hideMark/>
          </w:tcPr>
          <w:p w14:paraId="39AA6518"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70501</w:t>
            </w:r>
          </w:p>
        </w:tc>
        <w:tc>
          <w:tcPr>
            <w:tcW w:w="643" w:type="pct"/>
            <w:tcBorders>
              <w:top w:val="nil"/>
              <w:left w:val="nil"/>
              <w:bottom w:val="nil"/>
              <w:right w:val="nil"/>
            </w:tcBorders>
            <w:shd w:val="clear" w:color="auto" w:fill="auto"/>
            <w:noWrap/>
            <w:vAlign w:val="center"/>
            <w:hideMark/>
          </w:tcPr>
          <w:p w14:paraId="58F50BCE" w14:textId="715F39AA"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0.4[.49]</w:t>
            </w:r>
          </w:p>
        </w:tc>
        <w:tc>
          <w:tcPr>
            <w:tcW w:w="479" w:type="pct"/>
            <w:tcBorders>
              <w:top w:val="nil"/>
              <w:left w:val="nil"/>
              <w:bottom w:val="nil"/>
              <w:right w:val="nil"/>
            </w:tcBorders>
            <w:shd w:val="clear" w:color="auto" w:fill="auto"/>
            <w:noWrap/>
            <w:vAlign w:val="center"/>
            <w:hideMark/>
          </w:tcPr>
          <w:p w14:paraId="4BD2BF9E"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69019</w:t>
            </w:r>
          </w:p>
        </w:tc>
        <w:tc>
          <w:tcPr>
            <w:tcW w:w="605" w:type="pct"/>
            <w:gridSpan w:val="2"/>
            <w:tcBorders>
              <w:top w:val="nil"/>
              <w:left w:val="nil"/>
              <w:bottom w:val="nil"/>
              <w:right w:val="nil"/>
            </w:tcBorders>
            <w:shd w:val="clear" w:color="auto" w:fill="auto"/>
            <w:noWrap/>
            <w:vAlign w:val="center"/>
          </w:tcPr>
          <w:p w14:paraId="6F0DEBCF" w14:textId="26FB8ABF"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0.58[.49]</w:t>
            </w:r>
          </w:p>
        </w:tc>
        <w:tc>
          <w:tcPr>
            <w:tcW w:w="418" w:type="pct"/>
            <w:tcBorders>
              <w:top w:val="nil"/>
              <w:left w:val="nil"/>
              <w:bottom w:val="nil"/>
              <w:right w:val="nil"/>
            </w:tcBorders>
            <w:shd w:val="clear" w:color="auto" w:fill="auto"/>
            <w:noWrap/>
            <w:vAlign w:val="center"/>
          </w:tcPr>
          <w:p w14:paraId="041C551F"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41594</w:t>
            </w:r>
          </w:p>
        </w:tc>
        <w:tc>
          <w:tcPr>
            <w:tcW w:w="605" w:type="pct"/>
            <w:tcBorders>
              <w:top w:val="nil"/>
              <w:left w:val="nil"/>
              <w:bottom w:val="nil"/>
              <w:right w:val="nil"/>
            </w:tcBorders>
            <w:vAlign w:val="center"/>
          </w:tcPr>
          <w:p w14:paraId="4DFA2F8C" w14:textId="01BB4EFA"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0.38[.48]</w:t>
            </w:r>
          </w:p>
        </w:tc>
      </w:tr>
      <w:tr w:rsidR="00C47D94" w:rsidRPr="00C47D94" w14:paraId="414D4E8A" w14:textId="77777777" w:rsidTr="00C47D94">
        <w:trPr>
          <w:cantSplit/>
        </w:trPr>
        <w:tc>
          <w:tcPr>
            <w:tcW w:w="752" w:type="pct"/>
            <w:tcBorders>
              <w:top w:val="nil"/>
              <w:left w:val="nil"/>
              <w:bottom w:val="nil"/>
              <w:right w:val="nil"/>
            </w:tcBorders>
            <w:shd w:val="clear" w:color="auto" w:fill="auto"/>
            <w:noWrap/>
            <w:vAlign w:val="center"/>
          </w:tcPr>
          <w:p w14:paraId="62F6F13A"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N children</w:t>
            </w:r>
          </w:p>
        </w:tc>
        <w:tc>
          <w:tcPr>
            <w:tcW w:w="450" w:type="pct"/>
            <w:tcBorders>
              <w:top w:val="nil"/>
              <w:left w:val="nil"/>
              <w:bottom w:val="nil"/>
              <w:right w:val="nil"/>
            </w:tcBorders>
            <w:shd w:val="clear" w:color="auto" w:fill="auto"/>
            <w:noWrap/>
            <w:vAlign w:val="center"/>
          </w:tcPr>
          <w:p w14:paraId="36912326"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150266</w:t>
            </w:r>
          </w:p>
        </w:tc>
        <w:tc>
          <w:tcPr>
            <w:tcW w:w="574" w:type="pct"/>
            <w:tcBorders>
              <w:top w:val="nil"/>
              <w:left w:val="nil"/>
              <w:bottom w:val="nil"/>
              <w:right w:val="nil"/>
            </w:tcBorders>
            <w:shd w:val="clear" w:color="auto" w:fill="auto"/>
            <w:noWrap/>
            <w:vAlign w:val="center"/>
          </w:tcPr>
          <w:p w14:paraId="78FE43EA"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2.0[2.7]</w:t>
            </w:r>
          </w:p>
        </w:tc>
        <w:tc>
          <w:tcPr>
            <w:tcW w:w="473" w:type="pct"/>
            <w:tcBorders>
              <w:top w:val="nil"/>
              <w:left w:val="nil"/>
              <w:bottom w:val="nil"/>
              <w:right w:val="nil"/>
            </w:tcBorders>
            <w:shd w:val="clear" w:color="auto" w:fill="auto"/>
            <w:noWrap/>
            <w:vAlign w:val="center"/>
          </w:tcPr>
          <w:p w14:paraId="4D80636A"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70501</w:t>
            </w:r>
          </w:p>
        </w:tc>
        <w:tc>
          <w:tcPr>
            <w:tcW w:w="643" w:type="pct"/>
            <w:tcBorders>
              <w:top w:val="nil"/>
              <w:left w:val="nil"/>
              <w:bottom w:val="nil"/>
              <w:right w:val="nil"/>
            </w:tcBorders>
            <w:shd w:val="clear" w:color="auto" w:fill="auto"/>
            <w:noWrap/>
            <w:vAlign w:val="center"/>
          </w:tcPr>
          <w:p w14:paraId="5172B9A4"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1.4[2.4]</w:t>
            </w:r>
          </w:p>
        </w:tc>
        <w:tc>
          <w:tcPr>
            <w:tcW w:w="479" w:type="pct"/>
            <w:tcBorders>
              <w:top w:val="nil"/>
              <w:left w:val="nil"/>
              <w:bottom w:val="nil"/>
              <w:right w:val="nil"/>
            </w:tcBorders>
            <w:shd w:val="clear" w:color="auto" w:fill="auto"/>
            <w:noWrap/>
            <w:vAlign w:val="center"/>
          </w:tcPr>
          <w:p w14:paraId="3948A424"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69019</w:t>
            </w:r>
          </w:p>
        </w:tc>
        <w:tc>
          <w:tcPr>
            <w:tcW w:w="605" w:type="pct"/>
            <w:gridSpan w:val="2"/>
            <w:tcBorders>
              <w:top w:val="nil"/>
              <w:left w:val="nil"/>
              <w:bottom w:val="nil"/>
              <w:right w:val="nil"/>
            </w:tcBorders>
            <w:shd w:val="clear" w:color="auto" w:fill="auto"/>
            <w:noWrap/>
            <w:vAlign w:val="center"/>
          </w:tcPr>
          <w:p w14:paraId="32CDD192"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2.5[3.2]</w:t>
            </w:r>
          </w:p>
        </w:tc>
        <w:tc>
          <w:tcPr>
            <w:tcW w:w="418" w:type="pct"/>
            <w:tcBorders>
              <w:top w:val="nil"/>
              <w:left w:val="nil"/>
              <w:bottom w:val="nil"/>
              <w:right w:val="nil"/>
            </w:tcBorders>
            <w:shd w:val="clear" w:color="auto" w:fill="auto"/>
            <w:noWrap/>
            <w:vAlign w:val="center"/>
          </w:tcPr>
          <w:p w14:paraId="1CED9560"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41594</w:t>
            </w:r>
          </w:p>
        </w:tc>
        <w:tc>
          <w:tcPr>
            <w:tcW w:w="605" w:type="pct"/>
            <w:tcBorders>
              <w:top w:val="nil"/>
              <w:left w:val="nil"/>
              <w:bottom w:val="nil"/>
              <w:right w:val="nil"/>
            </w:tcBorders>
            <w:vAlign w:val="center"/>
          </w:tcPr>
          <w:p w14:paraId="6188345A"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1.3[2.26]</w:t>
            </w:r>
          </w:p>
        </w:tc>
      </w:tr>
      <w:tr w:rsidR="00C47D94" w:rsidRPr="00C47D94" w14:paraId="51072F85" w14:textId="77777777" w:rsidTr="00C47D94">
        <w:trPr>
          <w:cantSplit/>
        </w:trPr>
        <w:tc>
          <w:tcPr>
            <w:tcW w:w="752" w:type="pct"/>
            <w:tcBorders>
              <w:top w:val="nil"/>
              <w:left w:val="nil"/>
              <w:bottom w:val="nil"/>
              <w:right w:val="nil"/>
            </w:tcBorders>
            <w:shd w:val="clear" w:color="auto" w:fill="auto"/>
            <w:noWrap/>
            <w:vAlign w:val="center"/>
            <w:hideMark/>
          </w:tcPr>
          <w:p w14:paraId="7B872A23" w14:textId="0925AFFA"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Age married</w:t>
            </w:r>
          </w:p>
        </w:tc>
        <w:tc>
          <w:tcPr>
            <w:tcW w:w="450" w:type="pct"/>
            <w:tcBorders>
              <w:top w:val="nil"/>
              <w:left w:val="nil"/>
              <w:bottom w:val="nil"/>
              <w:right w:val="nil"/>
            </w:tcBorders>
            <w:shd w:val="clear" w:color="auto" w:fill="auto"/>
            <w:noWrap/>
            <w:vAlign w:val="center"/>
            <w:hideMark/>
          </w:tcPr>
          <w:p w14:paraId="0B6868B8"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82447</w:t>
            </w:r>
          </w:p>
        </w:tc>
        <w:tc>
          <w:tcPr>
            <w:tcW w:w="574" w:type="pct"/>
            <w:tcBorders>
              <w:top w:val="nil"/>
              <w:left w:val="nil"/>
              <w:bottom w:val="nil"/>
              <w:right w:val="nil"/>
            </w:tcBorders>
            <w:shd w:val="clear" w:color="auto" w:fill="auto"/>
            <w:noWrap/>
            <w:vAlign w:val="center"/>
            <w:hideMark/>
          </w:tcPr>
          <w:p w14:paraId="3F8612D1"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27.2[5.6]</w:t>
            </w:r>
          </w:p>
        </w:tc>
        <w:tc>
          <w:tcPr>
            <w:tcW w:w="473" w:type="pct"/>
            <w:tcBorders>
              <w:top w:val="nil"/>
              <w:left w:val="nil"/>
              <w:bottom w:val="nil"/>
              <w:right w:val="nil"/>
            </w:tcBorders>
            <w:shd w:val="clear" w:color="auto" w:fill="auto"/>
            <w:noWrap/>
            <w:vAlign w:val="center"/>
            <w:hideMark/>
          </w:tcPr>
          <w:p w14:paraId="158CA9B4"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29334</w:t>
            </w:r>
          </w:p>
        </w:tc>
        <w:tc>
          <w:tcPr>
            <w:tcW w:w="643" w:type="pct"/>
            <w:tcBorders>
              <w:top w:val="nil"/>
              <w:left w:val="nil"/>
              <w:bottom w:val="nil"/>
              <w:right w:val="nil"/>
            </w:tcBorders>
            <w:shd w:val="clear" w:color="auto" w:fill="auto"/>
            <w:noWrap/>
            <w:vAlign w:val="center"/>
            <w:hideMark/>
          </w:tcPr>
          <w:p w14:paraId="505726B2"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27 [5.56]</w:t>
            </w:r>
          </w:p>
        </w:tc>
        <w:tc>
          <w:tcPr>
            <w:tcW w:w="479" w:type="pct"/>
            <w:tcBorders>
              <w:top w:val="nil"/>
              <w:left w:val="nil"/>
              <w:bottom w:val="nil"/>
              <w:right w:val="nil"/>
            </w:tcBorders>
            <w:shd w:val="clear" w:color="auto" w:fill="auto"/>
            <w:noWrap/>
            <w:vAlign w:val="center"/>
            <w:hideMark/>
          </w:tcPr>
          <w:p w14:paraId="3A745F5E"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43141</w:t>
            </w:r>
          </w:p>
        </w:tc>
        <w:tc>
          <w:tcPr>
            <w:tcW w:w="605" w:type="pct"/>
            <w:gridSpan w:val="2"/>
            <w:tcBorders>
              <w:top w:val="nil"/>
              <w:left w:val="nil"/>
              <w:bottom w:val="nil"/>
              <w:right w:val="nil"/>
            </w:tcBorders>
            <w:shd w:val="clear" w:color="auto" w:fill="auto"/>
            <w:noWrap/>
            <w:vAlign w:val="center"/>
          </w:tcPr>
          <w:p w14:paraId="1D7B77C9"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27.1[5.5]</w:t>
            </w:r>
          </w:p>
        </w:tc>
        <w:tc>
          <w:tcPr>
            <w:tcW w:w="418" w:type="pct"/>
            <w:tcBorders>
              <w:top w:val="nil"/>
              <w:left w:val="nil"/>
              <w:bottom w:val="nil"/>
              <w:right w:val="nil"/>
            </w:tcBorders>
            <w:shd w:val="clear" w:color="auto" w:fill="auto"/>
            <w:noWrap/>
            <w:vAlign w:val="center"/>
          </w:tcPr>
          <w:p w14:paraId="24AF1D4F"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16557</w:t>
            </w:r>
          </w:p>
        </w:tc>
        <w:tc>
          <w:tcPr>
            <w:tcW w:w="605" w:type="pct"/>
            <w:tcBorders>
              <w:top w:val="nil"/>
              <w:left w:val="nil"/>
              <w:bottom w:val="nil"/>
              <w:right w:val="nil"/>
            </w:tcBorders>
            <w:vAlign w:val="center"/>
          </w:tcPr>
          <w:p w14:paraId="6D041785"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27[5.46]</w:t>
            </w:r>
          </w:p>
        </w:tc>
      </w:tr>
      <w:tr w:rsidR="00C47D94" w:rsidRPr="00C47D94" w14:paraId="1AC80C42" w14:textId="77777777" w:rsidTr="00C47D94">
        <w:trPr>
          <w:cantSplit/>
        </w:trPr>
        <w:tc>
          <w:tcPr>
            <w:tcW w:w="752" w:type="pct"/>
            <w:tcBorders>
              <w:top w:val="nil"/>
              <w:left w:val="nil"/>
              <w:bottom w:val="nil"/>
              <w:right w:val="nil"/>
            </w:tcBorders>
            <w:shd w:val="clear" w:color="auto" w:fill="auto"/>
            <w:noWrap/>
            <w:vAlign w:val="center"/>
            <w:hideMark/>
          </w:tcPr>
          <w:p w14:paraId="1BB6D1DE"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Age at 1</w:t>
            </w:r>
            <w:r w:rsidRPr="00C47D94">
              <w:rPr>
                <w:rFonts w:ascii="Times New Roman" w:hAnsi="Times New Roman" w:cs="Times New Roman"/>
                <w:sz w:val="20"/>
                <w:szCs w:val="20"/>
                <w:vertAlign w:val="superscript"/>
              </w:rPr>
              <w:t>st</w:t>
            </w:r>
            <w:r w:rsidRPr="00C47D94">
              <w:rPr>
                <w:rFonts w:ascii="Times New Roman" w:hAnsi="Times New Roman" w:cs="Times New Roman"/>
                <w:sz w:val="20"/>
                <w:szCs w:val="20"/>
              </w:rPr>
              <w:t xml:space="preserve"> birth</w:t>
            </w:r>
          </w:p>
        </w:tc>
        <w:tc>
          <w:tcPr>
            <w:tcW w:w="450" w:type="pct"/>
            <w:tcBorders>
              <w:top w:val="nil"/>
              <w:left w:val="nil"/>
              <w:bottom w:val="nil"/>
              <w:right w:val="nil"/>
            </w:tcBorders>
            <w:shd w:val="clear" w:color="auto" w:fill="auto"/>
            <w:noWrap/>
            <w:vAlign w:val="center"/>
            <w:hideMark/>
          </w:tcPr>
          <w:p w14:paraId="4F9DEF3D"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77022</w:t>
            </w:r>
          </w:p>
        </w:tc>
        <w:tc>
          <w:tcPr>
            <w:tcW w:w="574" w:type="pct"/>
            <w:tcBorders>
              <w:top w:val="nil"/>
              <w:left w:val="nil"/>
              <w:bottom w:val="nil"/>
              <w:right w:val="nil"/>
            </w:tcBorders>
            <w:shd w:val="clear" w:color="auto" w:fill="auto"/>
            <w:noWrap/>
            <w:vAlign w:val="center"/>
            <w:hideMark/>
          </w:tcPr>
          <w:p w14:paraId="78EFDCD6"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27.26[5.2]</w:t>
            </w:r>
          </w:p>
        </w:tc>
        <w:tc>
          <w:tcPr>
            <w:tcW w:w="473" w:type="pct"/>
            <w:tcBorders>
              <w:top w:val="nil"/>
              <w:left w:val="nil"/>
              <w:bottom w:val="nil"/>
              <w:right w:val="nil"/>
            </w:tcBorders>
            <w:shd w:val="clear" w:color="auto" w:fill="auto"/>
            <w:noWrap/>
            <w:vAlign w:val="center"/>
            <w:hideMark/>
          </w:tcPr>
          <w:p w14:paraId="24F7EA3E"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28115</w:t>
            </w:r>
          </w:p>
        </w:tc>
        <w:tc>
          <w:tcPr>
            <w:tcW w:w="643" w:type="pct"/>
            <w:tcBorders>
              <w:top w:val="nil"/>
              <w:left w:val="nil"/>
              <w:bottom w:val="nil"/>
              <w:right w:val="nil"/>
            </w:tcBorders>
            <w:shd w:val="clear" w:color="auto" w:fill="auto"/>
            <w:noWrap/>
            <w:vAlign w:val="center"/>
            <w:hideMark/>
          </w:tcPr>
          <w:p w14:paraId="55E20099"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27.17[5.21]</w:t>
            </w:r>
          </w:p>
        </w:tc>
        <w:tc>
          <w:tcPr>
            <w:tcW w:w="479" w:type="pct"/>
            <w:tcBorders>
              <w:top w:val="nil"/>
              <w:left w:val="nil"/>
              <w:bottom w:val="nil"/>
              <w:right w:val="nil"/>
            </w:tcBorders>
            <w:shd w:val="clear" w:color="auto" w:fill="auto"/>
            <w:noWrap/>
            <w:vAlign w:val="center"/>
            <w:hideMark/>
          </w:tcPr>
          <w:p w14:paraId="5A3DD0A3"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39700</w:t>
            </w:r>
          </w:p>
        </w:tc>
        <w:tc>
          <w:tcPr>
            <w:tcW w:w="605" w:type="pct"/>
            <w:gridSpan w:val="2"/>
            <w:tcBorders>
              <w:top w:val="nil"/>
              <w:left w:val="nil"/>
              <w:bottom w:val="nil"/>
              <w:right w:val="nil"/>
            </w:tcBorders>
            <w:shd w:val="clear" w:color="auto" w:fill="auto"/>
            <w:noWrap/>
            <w:vAlign w:val="center"/>
          </w:tcPr>
          <w:p w14:paraId="1079DC01"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27.2[5.1]</w:t>
            </w:r>
          </w:p>
        </w:tc>
        <w:tc>
          <w:tcPr>
            <w:tcW w:w="418" w:type="pct"/>
            <w:tcBorders>
              <w:top w:val="nil"/>
              <w:left w:val="nil"/>
              <w:bottom w:val="nil"/>
              <w:right w:val="nil"/>
            </w:tcBorders>
            <w:shd w:val="clear" w:color="auto" w:fill="auto"/>
            <w:noWrap/>
            <w:vAlign w:val="center"/>
          </w:tcPr>
          <w:p w14:paraId="2DF9BD39"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15810</w:t>
            </w:r>
          </w:p>
        </w:tc>
        <w:tc>
          <w:tcPr>
            <w:tcW w:w="605" w:type="pct"/>
            <w:tcBorders>
              <w:top w:val="nil"/>
              <w:left w:val="nil"/>
              <w:bottom w:val="nil"/>
              <w:right w:val="nil"/>
            </w:tcBorders>
            <w:vAlign w:val="center"/>
          </w:tcPr>
          <w:p w14:paraId="60DD09A6"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27.3[5.2]</w:t>
            </w:r>
          </w:p>
        </w:tc>
      </w:tr>
      <w:tr w:rsidR="00C47D94" w:rsidRPr="00C47D94" w14:paraId="2CF2799B" w14:textId="77777777" w:rsidTr="00C47D94">
        <w:trPr>
          <w:cantSplit/>
        </w:trPr>
        <w:tc>
          <w:tcPr>
            <w:tcW w:w="752" w:type="pct"/>
            <w:tcBorders>
              <w:top w:val="nil"/>
              <w:left w:val="nil"/>
              <w:bottom w:val="single" w:sz="4" w:space="0" w:color="auto"/>
              <w:right w:val="nil"/>
            </w:tcBorders>
            <w:shd w:val="clear" w:color="auto" w:fill="auto"/>
            <w:noWrap/>
            <w:vAlign w:val="center"/>
            <w:hideMark/>
          </w:tcPr>
          <w:p w14:paraId="22A02625" w14:textId="5438DCBE"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Child death</w:t>
            </w:r>
          </w:p>
        </w:tc>
        <w:tc>
          <w:tcPr>
            <w:tcW w:w="450" w:type="pct"/>
            <w:tcBorders>
              <w:top w:val="nil"/>
              <w:left w:val="nil"/>
              <w:bottom w:val="single" w:sz="4" w:space="0" w:color="auto"/>
              <w:right w:val="nil"/>
            </w:tcBorders>
            <w:shd w:val="clear" w:color="auto" w:fill="auto"/>
            <w:noWrap/>
            <w:vAlign w:val="center"/>
            <w:hideMark/>
          </w:tcPr>
          <w:p w14:paraId="74E42830"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58743</w:t>
            </w:r>
          </w:p>
        </w:tc>
        <w:tc>
          <w:tcPr>
            <w:tcW w:w="574" w:type="pct"/>
            <w:tcBorders>
              <w:top w:val="nil"/>
              <w:left w:val="nil"/>
              <w:bottom w:val="single" w:sz="4" w:space="0" w:color="auto"/>
              <w:right w:val="nil"/>
            </w:tcBorders>
            <w:shd w:val="clear" w:color="auto" w:fill="auto"/>
            <w:noWrap/>
            <w:vAlign w:val="center"/>
            <w:hideMark/>
          </w:tcPr>
          <w:p w14:paraId="6FE6B5F7" w14:textId="6D342810"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0.05[.21]</w:t>
            </w:r>
          </w:p>
        </w:tc>
        <w:tc>
          <w:tcPr>
            <w:tcW w:w="473" w:type="pct"/>
            <w:tcBorders>
              <w:top w:val="nil"/>
              <w:left w:val="nil"/>
              <w:bottom w:val="single" w:sz="4" w:space="0" w:color="auto"/>
              <w:right w:val="nil"/>
            </w:tcBorders>
            <w:shd w:val="clear" w:color="auto" w:fill="auto"/>
            <w:noWrap/>
            <w:vAlign w:val="center"/>
            <w:hideMark/>
          </w:tcPr>
          <w:p w14:paraId="00DFC097"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21670</w:t>
            </w:r>
          </w:p>
        </w:tc>
        <w:tc>
          <w:tcPr>
            <w:tcW w:w="643" w:type="pct"/>
            <w:tcBorders>
              <w:top w:val="nil"/>
              <w:left w:val="nil"/>
              <w:bottom w:val="single" w:sz="4" w:space="0" w:color="auto"/>
              <w:right w:val="nil"/>
            </w:tcBorders>
            <w:shd w:val="clear" w:color="auto" w:fill="auto"/>
            <w:noWrap/>
            <w:vAlign w:val="center"/>
            <w:hideMark/>
          </w:tcPr>
          <w:p w14:paraId="22EC1E13" w14:textId="02A3274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0.04[.20]</w:t>
            </w:r>
          </w:p>
        </w:tc>
        <w:tc>
          <w:tcPr>
            <w:tcW w:w="479" w:type="pct"/>
            <w:tcBorders>
              <w:top w:val="nil"/>
              <w:left w:val="nil"/>
              <w:bottom w:val="single" w:sz="4" w:space="0" w:color="auto"/>
              <w:right w:val="nil"/>
            </w:tcBorders>
            <w:shd w:val="clear" w:color="auto" w:fill="auto"/>
            <w:noWrap/>
            <w:vAlign w:val="center"/>
            <w:hideMark/>
          </w:tcPr>
          <w:p w14:paraId="574A81BD"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29169</w:t>
            </w:r>
          </w:p>
        </w:tc>
        <w:tc>
          <w:tcPr>
            <w:tcW w:w="605" w:type="pct"/>
            <w:gridSpan w:val="2"/>
            <w:tcBorders>
              <w:top w:val="nil"/>
              <w:left w:val="nil"/>
              <w:bottom w:val="single" w:sz="4" w:space="0" w:color="auto"/>
              <w:right w:val="nil"/>
            </w:tcBorders>
            <w:shd w:val="clear" w:color="auto" w:fill="auto"/>
            <w:noWrap/>
            <w:vAlign w:val="center"/>
            <w:hideMark/>
          </w:tcPr>
          <w:p w14:paraId="606015E6" w14:textId="4E321279"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0.052[.22]</w:t>
            </w:r>
          </w:p>
        </w:tc>
        <w:tc>
          <w:tcPr>
            <w:tcW w:w="418" w:type="pct"/>
            <w:tcBorders>
              <w:top w:val="nil"/>
              <w:left w:val="nil"/>
              <w:bottom w:val="single" w:sz="4" w:space="0" w:color="auto"/>
              <w:right w:val="nil"/>
            </w:tcBorders>
            <w:shd w:val="clear" w:color="auto" w:fill="auto"/>
            <w:noWrap/>
            <w:vAlign w:val="center"/>
          </w:tcPr>
          <w:p w14:paraId="6134FFCE" w14:textId="77777777"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12244</w:t>
            </w:r>
          </w:p>
        </w:tc>
        <w:tc>
          <w:tcPr>
            <w:tcW w:w="605" w:type="pct"/>
            <w:tcBorders>
              <w:top w:val="nil"/>
              <w:left w:val="nil"/>
              <w:bottom w:val="single" w:sz="4" w:space="0" w:color="auto"/>
              <w:right w:val="nil"/>
            </w:tcBorders>
            <w:vAlign w:val="center"/>
          </w:tcPr>
          <w:p w14:paraId="49466737" w14:textId="09D18638" w:rsidR="00C47D94" w:rsidRPr="00C47D94" w:rsidRDefault="00C47D94" w:rsidP="007326DD">
            <w:pPr>
              <w:pStyle w:val="NoSpacing"/>
              <w:ind w:right="34"/>
              <w:rPr>
                <w:rFonts w:ascii="Times New Roman" w:hAnsi="Times New Roman" w:cs="Times New Roman"/>
                <w:sz w:val="20"/>
                <w:szCs w:val="20"/>
              </w:rPr>
            </w:pPr>
            <w:r w:rsidRPr="00C47D94">
              <w:rPr>
                <w:rFonts w:ascii="Times New Roman" w:hAnsi="Times New Roman" w:cs="Times New Roman"/>
                <w:sz w:val="20"/>
                <w:szCs w:val="20"/>
              </w:rPr>
              <w:t>0.04[.19]</w:t>
            </w:r>
          </w:p>
        </w:tc>
      </w:tr>
    </w:tbl>
    <w:p w14:paraId="221EA68A" w14:textId="77777777" w:rsidR="005C0B02" w:rsidRDefault="005C0B02" w:rsidP="005C0B02">
      <w:pPr>
        <w:spacing w:after="0" w:line="240" w:lineRule="auto"/>
        <w:rPr>
          <w:rFonts w:ascii="Times New Roman" w:hAnsi="Times New Roman" w:cs="Times New Roman"/>
          <w:sz w:val="24"/>
          <w:szCs w:val="24"/>
        </w:rPr>
      </w:pPr>
    </w:p>
    <w:p w14:paraId="0813BEC5" w14:textId="4D340313" w:rsidR="00A31932" w:rsidRPr="00FB2803" w:rsidRDefault="00A31932" w:rsidP="005C0B02">
      <w:pPr>
        <w:spacing w:after="0" w:line="240" w:lineRule="auto"/>
        <w:rPr>
          <w:rFonts w:ascii="Times New Roman" w:hAnsi="Times New Roman" w:cs="Times New Roman"/>
        </w:rPr>
      </w:pPr>
      <w:r w:rsidRPr="00FB2803">
        <w:rPr>
          <w:rFonts w:ascii="Times New Roman" w:hAnsi="Times New Roman" w:cs="Times New Roman"/>
        </w:rPr>
        <w:t>Table 2: Trade shocks and child wellbeing</w:t>
      </w:r>
      <w:r w:rsidR="0075390B" w:rsidRPr="00FB2803">
        <w:rPr>
          <w:rFonts w:ascii="Times New Roman" w:hAnsi="Times New Roman" w:cs="Times New Roman"/>
          <w:vertAlign w:val="superscript"/>
        </w:rPr>
        <w:t>#</w:t>
      </w:r>
    </w:p>
    <w:tbl>
      <w:tblPr>
        <w:tblW w:w="4900" w:type="pct"/>
        <w:jc w:val="center"/>
        <w:tblLook w:val="04A0" w:firstRow="1" w:lastRow="0" w:firstColumn="1" w:lastColumn="0" w:noHBand="0" w:noVBand="1"/>
      </w:tblPr>
      <w:tblGrid>
        <w:gridCol w:w="2004"/>
        <w:gridCol w:w="1978"/>
        <w:gridCol w:w="1836"/>
        <w:gridCol w:w="141"/>
        <w:gridCol w:w="19"/>
        <w:gridCol w:w="1145"/>
        <w:gridCol w:w="191"/>
        <w:gridCol w:w="58"/>
        <w:gridCol w:w="1980"/>
        <w:gridCol w:w="32"/>
      </w:tblGrid>
      <w:tr w:rsidR="005C0B02" w:rsidRPr="007326DD" w14:paraId="112E9B77" w14:textId="77777777" w:rsidTr="00C47D94">
        <w:trPr>
          <w:trHeight w:val="255"/>
          <w:jc w:val="center"/>
        </w:trPr>
        <w:tc>
          <w:tcPr>
            <w:tcW w:w="1068" w:type="pct"/>
            <w:tcBorders>
              <w:top w:val="single" w:sz="4" w:space="0" w:color="auto"/>
              <w:bottom w:val="single" w:sz="4" w:space="0" w:color="auto"/>
            </w:tcBorders>
            <w:shd w:val="clear" w:color="auto" w:fill="auto"/>
            <w:noWrap/>
            <w:vAlign w:val="bottom"/>
          </w:tcPr>
          <w:p w14:paraId="190B81E4"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Shock</w:t>
            </w:r>
          </w:p>
        </w:tc>
        <w:tc>
          <w:tcPr>
            <w:tcW w:w="1054" w:type="pct"/>
            <w:tcBorders>
              <w:top w:val="single" w:sz="4" w:space="0" w:color="auto"/>
              <w:bottom w:val="single" w:sz="4" w:space="0" w:color="auto"/>
            </w:tcBorders>
            <w:vAlign w:val="bottom"/>
          </w:tcPr>
          <w:p w14:paraId="6982C9D6" w14:textId="552F4264" w:rsidR="005C0B02" w:rsidRPr="007326DD" w:rsidRDefault="00D04555" w:rsidP="00ED5D68">
            <w:pPr>
              <w:pStyle w:val="NoSpacing"/>
              <w:rPr>
                <w:rFonts w:ascii="Times New Roman" w:hAnsi="Times New Roman" w:cs="Times New Roman"/>
              </w:rPr>
            </w:pPr>
            <w:r w:rsidRPr="007326DD">
              <w:rPr>
                <w:rFonts w:ascii="Times New Roman" w:hAnsi="Times New Roman" w:cs="Times New Roman"/>
              </w:rPr>
              <w:t xml:space="preserve">  </w:t>
            </w:r>
            <w:r w:rsidR="005C0B02" w:rsidRPr="007326DD">
              <w:rPr>
                <w:rFonts w:ascii="Times New Roman" w:hAnsi="Times New Roman" w:cs="Times New Roman"/>
              </w:rPr>
              <w:t>Timber</w:t>
            </w:r>
          </w:p>
        </w:tc>
        <w:tc>
          <w:tcPr>
            <w:tcW w:w="1673" w:type="pct"/>
            <w:gridSpan w:val="4"/>
            <w:tcBorders>
              <w:top w:val="single" w:sz="4" w:space="0" w:color="auto"/>
              <w:bottom w:val="single" w:sz="4" w:space="0" w:color="auto"/>
            </w:tcBorders>
            <w:vAlign w:val="bottom"/>
          </w:tcPr>
          <w:p w14:paraId="598617EB" w14:textId="0B140052" w:rsidR="005C0B02" w:rsidRPr="007326DD" w:rsidRDefault="005C0B02" w:rsidP="00C57174">
            <w:pPr>
              <w:pStyle w:val="NoSpacing"/>
              <w:rPr>
                <w:rFonts w:ascii="Times New Roman" w:hAnsi="Times New Roman" w:cs="Times New Roman"/>
              </w:rPr>
            </w:pPr>
            <w:r w:rsidRPr="007326DD">
              <w:rPr>
                <w:rFonts w:ascii="Times New Roman" w:hAnsi="Times New Roman" w:cs="Times New Roman"/>
              </w:rPr>
              <w:t xml:space="preserve">Oats </w:t>
            </w:r>
            <w:r w:rsidR="00C57174">
              <w:rPr>
                <w:rFonts w:ascii="Times New Roman" w:hAnsi="Times New Roman" w:cs="Times New Roman"/>
              </w:rPr>
              <w:t xml:space="preserve"> and </w:t>
            </w:r>
            <w:r w:rsidR="00C57174" w:rsidRPr="007326DD">
              <w:rPr>
                <w:rFonts w:ascii="Times New Roman" w:hAnsi="Times New Roman" w:cs="Times New Roman"/>
              </w:rPr>
              <w:t>Wheat</w:t>
            </w:r>
            <w:r w:rsidR="00C57174" w:rsidRPr="007326DD">
              <w:rPr>
                <w:rFonts w:ascii="Times New Roman" w:hAnsi="Times New Roman" w:cs="Times New Roman"/>
                <w:vertAlign w:val="superscript"/>
              </w:rPr>
              <w:t>##</w:t>
            </w:r>
            <w:r w:rsidR="00C57174" w:rsidRPr="007326DD">
              <w:rPr>
                <w:rFonts w:ascii="Times New Roman" w:hAnsi="Times New Roman" w:cs="Times New Roman"/>
                <w:vertAlign w:val="subscript"/>
              </w:rPr>
              <w:t xml:space="preserve"> </w:t>
            </w:r>
            <w:r w:rsidR="00D04555" w:rsidRPr="007326DD">
              <w:rPr>
                <w:rFonts w:ascii="Times New Roman" w:hAnsi="Times New Roman" w:cs="Times New Roman"/>
              </w:rPr>
              <w:t xml:space="preserve">       </w:t>
            </w:r>
          </w:p>
        </w:tc>
        <w:tc>
          <w:tcPr>
            <w:tcW w:w="1205" w:type="pct"/>
            <w:gridSpan w:val="4"/>
            <w:tcBorders>
              <w:top w:val="single" w:sz="4" w:space="0" w:color="auto"/>
              <w:bottom w:val="single" w:sz="4" w:space="0" w:color="auto"/>
            </w:tcBorders>
            <w:vAlign w:val="bottom"/>
          </w:tcPr>
          <w:p w14:paraId="085071E9" w14:textId="7798AC0F" w:rsidR="005C0B02" w:rsidRPr="007326DD" w:rsidRDefault="00D04555" w:rsidP="00ED5D68">
            <w:pPr>
              <w:pStyle w:val="NoSpacing"/>
              <w:rPr>
                <w:rFonts w:ascii="Times New Roman" w:hAnsi="Times New Roman" w:cs="Times New Roman"/>
              </w:rPr>
            </w:pPr>
            <w:r w:rsidRPr="007326DD">
              <w:rPr>
                <w:rFonts w:ascii="Times New Roman" w:hAnsi="Times New Roman" w:cs="Times New Roman"/>
              </w:rPr>
              <w:t xml:space="preserve">                  </w:t>
            </w:r>
            <w:r w:rsidR="005C0B02" w:rsidRPr="007326DD">
              <w:rPr>
                <w:rFonts w:ascii="Times New Roman" w:hAnsi="Times New Roman" w:cs="Times New Roman"/>
              </w:rPr>
              <w:t>Butter</w:t>
            </w:r>
          </w:p>
        </w:tc>
      </w:tr>
      <w:tr w:rsidR="005C0B02" w:rsidRPr="007326DD" w14:paraId="63950DFD" w14:textId="77777777" w:rsidTr="00C47D94">
        <w:trPr>
          <w:trHeight w:val="255"/>
          <w:jc w:val="center"/>
        </w:trPr>
        <w:tc>
          <w:tcPr>
            <w:tcW w:w="1068" w:type="pct"/>
            <w:tcBorders>
              <w:top w:val="single" w:sz="4" w:space="0" w:color="auto"/>
            </w:tcBorders>
            <w:shd w:val="clear" w:color="auto" w:fill="auto"/>
            <w:noWrap/>
            <w:vAlign w:val="bottom"/>
          </w:tcPr>
          <w:p w14:paraId="440ED0F6" w14:textId="77777777" w:rsidR="005C0B02" w:rsidRPr="007326DD" w:rsidRDefault="005C0B02" w:rsidP="00ED5D68">
            <w:pPr>
              <w:pStyle w:val="NoSpacing"/>
              <w:rPr>
                <w:rFonts w:ascii="Times New Roman" w:hAnsi="Times New Roman" w:cs="Times New Roman"/>
              </w:rPr>
            </w:pPr>
          </w:p>
        </w:tc>
        <w:tc>
          <w:tcPr>
            <w:tcW w:w="1054" w:type="pct"/>
            <w:tcBorders>
              <w:top w:val="single" w:sz="4" w:space="0" w:color="auto"/>
            </w:tcBorders>
            <w:vAlign w:val="bottom"/>
          </w:tcPr>
          <w:p w14:paraId="07735812" w14:textId="7EE46BEF" w:rsidR="005C0B02" w:rsidRPr="007326DD" w:rsidRDefault="00D04555" w:rsidP="00D04555">
            <w:pPr>
              <w:pStyle w:val="NoSpacing"/>
              <w:rPr>
                <w:rFonts w:ascii="Times New Roman" w:hAnsi="Times New Roman" w:cs="Times New Roman"/>
              </w:rPr>
            </w:pPr>
            <w:r w:rsidRPr="007326DD">
              <w:rPr>
                <w:rFonts w:ascii="Times New Roman" w:hAnsi="Times New Roman" w:cs="Times New Roman"/>
              </w:rPr>
              <w:t xml:space="preserve">     </w:t>
            </w:r>
            <w:r w:rsidR="005C0B02" w:rsidRPr="007326DD">
              <w:rPr>
                <w:rFonts w:ascii="Times New Roman" w:hAnsi="Times New Roman" w:cs="Times New Roman"/>
              </w:rPr>
              <w:t>(1)</w:t>
            </w:r>
          </w:p>
        </w:tc>
        <w:tc>
          <w:tcPr>
            <w:tcW w:w="1053" w:type="pct"/>
            <w:gridSpan w:val="2"/>
            <w:tcBorders>
              <w:top w:val="single" w:sz="4" w:space="0" w:color="auto"/>
            </w:tcBorders>
            <w:vAlign w:val="bottom"/>
          </w:tcPr>
          <w:p w14:paraId="6F0650D3" w14:textId="62C3DC34" w:rsidR="005C0B02" w:rsidRPr="007326DD" w:rsidRDefault="00D04555" w:rsidP="00ED5D68">
            <w:pPr>
              <w:pStyle w:val="NoSpacing"/>
              <w:rPr>
                <w:rFonts w:ascii="Times New Roman" w:hAnsi="Times New Roman" w:cs="Times New Roman"/>
              </w:rPr>
            </w:pPr>
            <w:r w:rsidRPr="007326DD">
              <w:rPr>
                <w:rFonts w:ascii="Times New Roman" w:hAnsi="Times New Roman" w:cs="Times New Roman"/>
              </w:rPr>
              <w:t xml:space="preserve">      </w:t>
            </w:r>
            <w:r w:rsidR="005C0B02" w:rsidRPr="007326DD">
              <w:rPr>
                <w:rFonts w:ascii="Times New Roman" w:hAnsi="Times New Roman" w:cs="Times New Roman"/>
              </w:rPr>
              <w:t>(2)</w:t>
            </w:r>
          </w:p>
        </w:tc>
        <w:tc>
          <w:tcPr>
            <w:tcW w:w="620" w:type="pct"/>
            <w:gridSpan w:val="2"/>
            <w:tcBorders>
              <w:top w:val="single" w:sz="4" w:space="0" w:color="auto"/>
            </w:tcBorders>
            <w:vAlign w:val="bottom"/>
          </w:tcPr>
          <w:p w14:paraId="6057A7E2" w14:textId="1112DB2F" w:rsidR="005C0B02" w:rsidRPr="007326DD" w:rsidRDefault="00D04555" w:rsidP="00D04555">
            <w:pPr>
              <w:pStyle w:val="NoSpacing"/>
              <w:jc w:val="center"/>
              <w:rPr>
                <w:rFonts w:ascii="Times New Roman" w:hAnsi="Times New Roman" w:cs="Times New Roman"/>
              </w:rPr>
            </w:pPr>
            <w:r w:rsidRPr="007326DD">
              <w:rPr>
                <w:rFonts w:ascii="Times New Roman" w:hAnsi="Times New Roman" w:cs="Times New Roman"/>
              </w:rPr>
              <w:t xml:space="preserve">  </w:t>
            </w:r>
            <w:r w:rsidR="005C0B02" w:rsidRPr="007326DD">
              <w:rPr>
                <w:rFonts w:ascii="Times New Roman" w:hAnsi="Times New Roman" w:cs="Times New Roman"/>
              </w:rPr>
              <w:t>(3)</w:t>
            </w:r>
          </w:p>
        </w:tc>
        <w:tc>
          <w:tcPr>
            <w:tcW w:w="1205" w:type="pct"/>
            <w:gridSpan w:val="4"/>
            <w:tcBorders>
              <w:top w:val="single" w:sz="4" w:space="0" w:color="auto"/>
            </w:tcBorders>
            <w:vAlign w:val="bottom"/>
          </w:tcPr>
          <w:p w14:paraId="1DD08543"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(4)</w:t>
            </w:r>
          </w:p>
        </w:tc>
      </w:tr>
      <w:tr w:rsidR="005C0B02" w:rsidRPr="007326DD" w14:paraId="19A55B74" w14:textId="77777777" w:rsidTr="00C47D94">
        <w:trPr>
          <w:gridAfter w:val="1"/>
          <w:wAfter w:w="17" w:type="pct"/>
          <w:trHeight w:val="255"/>
          <w:jc w:val="center"/>
        </w:trPr>
        <w:tc>
          <w:tcPr>
            <w:tcW w:w="1068" w:type="pct"/>
            <w:tcBorders>
              <w:top w:val="single" w:sz="4" w:space="0" w:color="auto"/>
            </w:tcBorders>
            <w:shd w:val="clear" w:color="auto" w:fill="auto"/>
            <w:noWrap/>
            <w:vAlign w:val="bottom"/>
          </w:tcPr>
          <w:p w14:paraId="68469B05" w14:textId="77777777" w:rsidR="005C0B02" w:rsidRPr="007326DD" w:rsidRDefault="005C0B02" w:rsidP="00ED5D68">
            <w:pPr>
              <w:pStyle w:val="NoSpacing"/>
              <w:rPr>
                <w:rFonts w:ascii="Times New Roman" w:hAnsi="Times New Roman" w:cs="Times New Roman"/>
              </w:rPr>
            </w:pPr>
          </w:p>
        </w:tc>
        <w:tc>
          <w:tcPr>
            <w:tcW w:w="3915" w:type="pct"/>
            <w:gridSpan w:val="8"/>
            <w:tcBorders>
              <w:top w:val="single" w:sz="4" w:space="0" w:color="auto"/>
            </w:tcBorders>
            <w:vAlign w:val="bottom"/>
          </w:tcPr>
          <w:p w14:paraId="77B5EF2C" w14:textId="77777777" w:rsidR="005C0B02" w:rsidRPr="007326DD" w:rsidRDefault="005C0B02" w:rsidP="00ED5D68">
            <w:pPr>
              <w:pStyle w:val="NoSpacing"/>
              <w:jc w:val="center"/>
              <w:rPr>
                <w:rFonts w:ascii="Times New Roman" w:hAnsi="Times New Roman" w:cs="Times New Roman"/>
              </w:rPr>
            </w:pPr>
            <w:r w:rsidRPr="007326DD">
              <w:rPr>
                <w:rFonts w:ascii="Times New Roman" w:hAnsi="Times New Roman" w:cs="Times New Roman"/>
              </w:rPr>
              <w:t>Concurrent effects</w:t>
            </w:r>
          </w:p>
        </w:tc>
      </w:tr>
      <w:tr w:rsidR="005C0B02" w:rsidRPr="007326DD" w14:paraId="55622267" w14:textId="77777777" w:rsidTr="00C47D94">
        <w:trPr>
          <w:gridAfter w:val="1"/>
          <w:wAfter w:w="17" w:type="pct"/>
          <w:trHeight w:val="255"/>
          <w:jc w:val="center"/>
        </w:trPr>
        <w:tc>
          <w:tcPr>
            <w:tcW w:w="1068" w:type="pct"/>
            <w:tcBorders>
              <w:top w:val="single" w:sz="4" w:space="0" w:color="auto"/>
            </w:tcBorders>
            <w:shd w:val="clear" w:color="auto" w:fill="auto"/>
            <w:noWrap/>
            <w:vAlign w:val="bottom"/>
          </w:tcPr>
          <w:p w14:paraId="77B23D57" w14:textId="5E67DD77" w:rsidR="005C0B02" w:rsidRPr="007326DD" w:rsidRDefault="005C0B02" w:rsidP="00C03D5D">
            <w:pPr>
              <w:pStyle w:val="NoSpacing"/>
              <w:rPr>
                <w:rFonts w:ascii="Times New Roman" w:hAnsi="Times New Roman" w:cs="Times New Roman"/>
              </w:rPr>
            </w:pPr>
            <w:r w:rsidRPr="007326DD">
              <w:rPr>
                <w:rFonts w:ascii="Times New Roman" w:hAnsi="Times New Roman" w:cs="Times New Roman"/>
              </w:rPr>
              <w:t xml:space="preserve">Illegitimate </w:t>
            </w:r>
            <w:r w:rsidR="00E53C4E" w:rsidRPr="007326DD">
              <w:rPr>
                <w:rFonts w:ascii="Times New Roman" w:hAnsi="Times New Roman" w:cs="Times New Roman"/>
              </w:rPr>
              <w:t>birth</w:t>
            </w:r>
          </w:p>
        </w:tc>
        <w:tc>
          <w:tcPr>
            <w:tcW w:w="1054" w:type="pct"/>
            <w:tcBorders>
              <w:top w:val="single" w:sz="4" w:space="0" w:color="auto"/>
            </w:tcBorders>
            <w:vAlign w:val="bottom"/>
          </w:tcPr>
          <w:p w14:paraId="0BE82865"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0.0157**</w:t>
            </w:r>
          </w:p>
        </w:tc>
        <w:tc>
          <w:tcPr>
            <w:tcW w:w="978" w:type="pct"/>
            <w:tcBorders>
              <w:top w:val="single" w:sz="4" w:space="0" w:color="auto"/>
            </w:tcBorders>
            <w:vAlign w:val="bottom"/>
          </w:tcPr>
          <w:p w14:paraId="646272D8"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0.0183***</w:t>
            </w:r>
          </w:p>
        </w:tc>
        <w:tc>
          <w:tcPr>
            <w:tcW w:w="828" w:type="pct"/>
            <w:gridSpan w:val="5"/>
            <w:tcBorders>
              <w:top w:val="single" w:sz="4" w:space="0" w:color="auto"/>
            </w:tcBorders>
            <w:vAlign w:val="bottom"/>
          </w:tcPr>
          <w:p w14:paraId="2FDCC59A"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-0.0078</w:t>
            </w:r>
          </w:p>
        </w:tc>
        <w:tc>
          <w:tcPr>
            <w:tcW w:w="1054" w:type="pct"/>
            <w:tcBorders>
              <w:top w:val="single" w:sz="4" w:space="0" w:color="auto"/>
            </w:tcBorders>
            <w:vAlign w:val="bottom"/>
          </w:tcPr>
          <w:p w14:paraId="43956575"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-0.0155***</w:t>
            </w:r>
          </w:p>
        </w:tc>
      </w:tr>
      <w:tr w:rsidR="005C0B02" w:rsidRPr="007326DD" w14:paraId="02214AE4" w14:textId="77777777" w:rsidTr="00C47D94">
        <w:trPr>
          <w:gridAfter w:val="1"/>
          <w:wAfter w:w="17" w:type="pct"/>
          <w:trHeight w:val="255"/>
          <w:jc w:val="center"/>
        </w:trPr>
        <w:tc>
          <w:tcPr>
            <w:tcW w:w="1068" w:type="pct"/>
            <w:shd w:val="clear" w:color="auto" w:fill="auto"/>
            <w:noWrap/>
            <w:vAlign w:val="bottom"/>
          </w:tcPr>
          <w:p w14:paraId="30CEAEA6" w14:textId="6C6153BE" w:rsidR="005C0B02" w:rsidRPr="007326DD" w:rsidRDefault="005C0B02" w:rsidP="00ED5D68">
            <w:pPr>
              <w:pStyle w:val="NoSpacing"/>
              <w:rPr>
                <w:rFonts w:ascii="Times New Roman" w:hAnsi="Times New Roman" w:cs="Times New Roman"/>
              </w:rPr>
            </w:pPr>
          </w:p>
        </w:tc>
        <w:tc>
          <w:tcPr>
            <w:tcW w:w="1054" w:type="pct"/>
            <w:vAlign w:val="bottom"/>
          </w:tcPr>
          <w:p w14:paraId="040ED8FF"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(0.00650)</w:t>
            </w:r>
          </w:p>
        </w:tc>
        <w:tc>
          <w:tcPr>
            <w:tcW w:w="978" w:type="pct"/>
            <w:vAlign w:val="bottom"/>
          </w:tcPr>
          <w:p w14:paraId="48A75513"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(0.00636)</w:t>
            </w:r>
          </w:p>
        </w:tc>
        <w:tc>
          <w:tcPr>
            <w:tcW w:w="828" w:type="pct"/>
            <w:gridSpan w:val="5"/>
            <w:vAlign w:val="bottom"/>
          </w:tcPr>
          <w:p w14:paraId="56779AB5"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(0.006)</w:t>
            </w:r>
          </w:p>
        </w:tc>
        <w:tc>
          <w:tcPr>
            <w:tcW w:w="1054" w:type="pct"/>
            <w:vAlign w:val="bottom"/>
          </w:tcPr>
          <w:p w14:paraId="457705AB"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(0.00496)</w:t>
            </w:r>
          </w:p>
        </w:tc>
      </w:tr>
      <w:tr w:rsidR="005C0B02" w:rsidRPr="007326DD" w14:paraId="6138A85D" w14:textId="77777777" w:rsidTr="00C47D94">
        <w:trPr>
          <w:gridAfter w:val="1"/>
          <w:wAfter w:w="17" w:type="pct"/>
          <w:trHeight w:val="255"/>
          <w:jc w:val="center"/>
        </w:trPr>
        <w:tc>
          <w:tcPr>
            <w:tcW w:w="1068" w:type="pct"/>
            <w:shd w:val="clear" w:color="auto" w:fill="auto"/>
            <w:noWrap/>
            <w:vAlign w:val="bottom"/>
          </w:tcPr>
          <w:p w14:paraId="5242B12B"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Child death</w:t>
            </w:r>
          </w:p>
        </w:tc>
        <w:tc>
          <w:tcPr>
            <w:tcW w:w="1054" w:type="pct"/>
            <w:vAlign w:val="bottom"/>
          </w:tcPr>
          <w:p w14:paraId="63939C22"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0.0193*</w:t>
            </w:r>
          </w:p>
        </w:tc>
        <w:tc>
          <w:tcPr>
            <w:tcW w:w="978" w:type="pct"/>
            <w:vAlign w:val="bottom"/>
          </w:tcPr>
          <w:p w14:paraId="30D9A935"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0.0223***</w:t>
            </w:r>
          </w:p>
        </w:tc>
        <w:tc>
          <w:tcPr>
            <w:tcW w:w="828" w:type="pct"/>
            <w:gridSpan w:val="5"/>
            <w:vAlign w:val="bottom"/>
          </w:tcPr>
          <w:p w14:paraId="293D1C77"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-0.010**</w:t>
            </w:r>
          </w:p>
        </w:tc>
        <w:tc>
          <w:tcPr>
            <w:tcW w:w="1054" w:type="pct"/>
            <w:vAlign w:val="bottom"/>
          </w:tcPr>
          <w:p w14:paraId="2879BC47"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-0.0257**</w:t>
            </w:r>
          </w:p>
        </w:tc>
      </w:tr>
      <w:tr w:rsidR="005C0B02" w:rsidRPr="007326DD" w14:paraId="2F5F147D" w14:textId="77777777" w:rsidTr="00C47D94">
        <w:trPr>
          <w:gridAfter w:val="1"/>
          <w:wAfter w:w="17" w:type="pct"/>
          <w:trHeight w:val="255"/>
          <w:jc w:val="center"/>
        </w:trPr>
        <w:tc>
          <w:tcPr>
            <w:tcW w:w="1068" w:type="pct"/>
            <w:shd w:val="clear" w:color="auto" w:fill="auto"/>
            <w:noWrap/>
            <w:vAlign w:val="bottom"/>
          </w:tcPr>
          <w:p w14:paraId="559FD6F1" w14:textId="77777777" w:rsidR="005C0B02" w:rsidRPr="007326DD" w:rsidRDefault="005C0B02" w:rsidP="00ED5D68">
            <w:pPr>
              <w:pStyle w:val="NoSpacing"/>
              <w:rPr>
                <w:rFonts w:ascii="Times New Roman" w:hAnsi="Times New Roman" w:cs="Times New Roman"/>
              </w:rPr>
            </w:pPr>
          </w:p>
        </w:tc>
        <w:tc>
          <w:tcPr>
            <w:tcW w:w="1054" w:type="pct"/>
            <w:vAlign w:val="bottom"/>
          </w:tcPr>
          <w:p w14:paraId="7005CF9D"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(0.0103)</w:t>
            </w:r>
          </w:p>
        </w:tc>
        <w:tc>
          <w:tcPr>
            <w:tcW w:w="978" w:type="pct"/>
            <w:vAlign w:val="bottom"/>
          </w:tcPr>
          <w:p w14:paraId="29FAA1BD"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(0.008)</w:t>
            </w:r>
          </w:p>
        </w:tc>
        <w:tc>
          <w:tcPr>
            <w:tcW w:w="828" w:type="pct"/>
            <w:gridSpan w:val="5"/>
            <w:vAlign w:val="bottom"/>
          </w:tcPr>
          <w:p w14:paraId="0F1B9220"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(0.0045)</w:t>
            </w:r>
          </w:p>
        </w:tc>
        <w:tc>
          <w:tcPr>
            <w:tcW w:w="1054" w:type="pct"/>
            <w:vAlign w:val="bottom"/>
          </w:tcPr>
          <w:p w14:paraId="2FC18D86"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(0.0115)</w:t>
            </w:r>
          </w:p>
        </w:tc>
      </w:tr>
      <w:tr w:rsidR="005C0B02" w:rsidRPr="007326DD" w14:paraId="734F0718" w14:textId="77777777" w:rsidTr="00C47D94">
        <w:trPr>
          <w:gridAfter w:val="1"/>
          <w:wAfter w:w="17" w:type="pct"/>
          <w:trHeight w:val="255"/>
          <w:jc w:val="center"/>
        </w:trPr>
        <w:tc>
          <w:tcPr>
            <w:tcW w:w="1068" w:type="pct"/>
            <w:shd w:val="clear" w:color="auto" w:fill="auto"/>
            <w:noWrap/>
            <w:vAlign w:val="bottom"/>
          </w:tcPr>
          <w:p w14:paraId="6DA1CBD6" w14:textId="6CD6955C"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 xml:space="preserve">Child </w:t>
            </w:r>
            <w:r w:rsidR="00E53C4E" w:rsidRPr="007326DD">
              <w:rPr>
                <w:rFonts w:ascii="Times New Roman" w:hAnsi="Times New Roman" w:cs="Times New Roman"/>
              </w:rPr>
              <w:t>vaccinated</w:t>
            </w:r>
          </w:p>
        </w:tc>
        <w:tc>
          <w:tcPr>
            <w:tcW w:w="1054" w:type="pct"/>
            <w:vAlign w:val="bottom"/>
          </w:tcPr>
          <w:p w14:paraId="7315B512"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-0.0346***</w:t>
            </w:r>
          </w:p>
        </w:tc>
        <w:tc>
          <w:tcPr>
            <w:tcW w:w="978" w:type="pct"/>
            <w:vAlign w:val="bottom"/>
          </w:tcPr>
          <w:p w14:paraId="22D055C6"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-0.0392***</w:t>
            </w:r>
          </w:p>
        </w:tc>
        <w:tc>
          <w:tcPr>
            <w:tcW w:w="828" w:type="pct"/>
            <w:gridSpan w:val="5"/>
            <w:vAlign w:val="bottom"/>
          </w:tcPr>
          <w:p w14:paraId="2D774581"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0.0231</w:t>
            </w:r>
          </w:p>
        </w:tc>
        <w:tc>
          <w:tcPr>
            <w:tcW w:w="1054" w:type="pct"/>
            <w:vAlign w:val="bottom"/>
          </w:tcPr>
          <w:p w14:paraId="53B21EA8"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0.0106</w:t>
            </w:r>
          </w:p>
        </w:tc>
      </w:tr>
      <w:tr w:rsidR="005C0B02" w:rsidRPr="007326DD" w14:paraId="1939EFF5" w14:textId="77777777" w:rsidTr="00C47D94">
        <w:trPr>
          <w:gridAfter w:val="1"/>
          <w:wAfter w:w="17" w:type="pct"/>
          <w:trHeight w:val="255"/>
          <w:jc w:val="center"/>
        </w:trPr>
        <w:tc>
          <w:tcPr>
            <w:tcW w:w="1068" w:type="pct"/>
            <w:shd w:val="clear" w:color="auto" w:fill="auto"/>
            <w:noWrap/>
            <w:vAlign w:val="bottom"/>
          </w:tcPr>
          <w:p w14:paraId="39D00B6C" w14:textId="7F2CD5A4" w:rsidR="005C0B02" w:rsidRPr="007326DD" w:rsidRDefault="005C0B02" w:rsidP="00ED5D68">
            <w:pPr>
              <w:pStyle w:val="NoSpacing"/>
              <w:rPr>
                <w:rFonts w:ascii="Times New Roman" w:hAnsi="Times New Roman" w:cs="Times New Roman"/>
              </w:rPr>
            </w:pPr>
          </w:p>
        </w:tc>
        <w:tc>
          <w:tcPr>
            <w:tcW w:w="1054" w:type="pct"/>
            <w:vAlign w:val="bottom"/>
          </w:tcPr>
          <w:p w14:paraId="7D52F0B1"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(0.00972)</w:t>
            </w:r>
          </w:p>
        </w:tc>
        <w:tc>
          <w:tcPr>
            <w:tcW w:w="978" w:type="pct"/>
            <w:vAlign w:val="bottom"/>
          </w:tcPr>
          <w:p w14:paraId="71E8BAEC"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(0.00984)</w:t>
            </w:r>
          </w:p>
        </w:tc>
        <w:tc>
          <w:tcPr>
            <w:tcW w:w="828" w:type="pct"/>
            <w:gridSpan w:val="5"/>
            <w:vAlign w:val="bottom"/>
          </w:tcPr>
          <w:p w14:paraId="0857DCE9"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(0.0172)</w:t>
            </w:r>
          </w:p>
        </w:tc>
        <w:tc>
          <w:tcPr>
            <w:tcW w:w="1054" w:type="pct"/>
            <w:vAlign w:val="bottom"/>
          </w:tcPr>
          <w:p w14:paraId="2DC27CC9"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(0.0179)</w:t>
            </w:r>
          </w:p>
        </w:tc>
      </w:tr>
      <w:tr w:rsidR="005C0B02" w:rsidRPr="007326DD" w14:paraId="15B919C8" w14:textId="77777777" w:rsidTr="00C47D94">
        <w:trPr>
          <w:gridAfter w:val="1"/>
          <w:wAfter w:w="17" w:type="pct"/>
          <w:trHeight w:val="255"/>
          <w:jc w:val="center"/>
        </w:trPr>
        <w:tc>
          <w:tcPr>
            <w:tcW w:w="1068" w:type="pct"/>
            <w:tcBorders>
              <w:bottom w:val="single" w:sz="4" w:space="0" w:color="auto"/>
            </w:tcBorders>
            <w:shd w:val="clear" w:color="auto" w:fill="auto"/>
            <w:noWrap/>
            <w:vAlign w:val="bottom"/>
          </w:tcPr>
          <w:p w14:paraId="5EB741AD" w14:textId="77777777" w:rsidR="005C0B02" w:rsidRPr="007326DD" w:rsidRDefault="005C0B02" w:rsidP="00ED5D68">
            <w:pPr>
              <w:pStyle w:val="NoSpacing"/>
              <w:rPr>
                <w:rFonts w:ascii="Times New Roman" w:hAnsi="Times New Roman" w:cs="Times New Roman"/>
              </w:rPr>
            </w:pPr>
            <w:proofErr w:type="spellStart"/>
            <w:r w:rsidRPr="007326DD">
              <w:rPr>
                <w:rFonts w:ascii="Times New Roman" w:hAnsi="Times New Roman" w:cs="Times New Roman"/>
              </w:rPr>
              <w:t>Obs</w:t>
            </w:r>
            <w:proofErr w:type="spellEnd"/>
          </w:p>
        </w:tc>
        <w:tc>
          <w:tcPr>
            <w:tcW w:w="1054" w:type="pct"/>
            <w:tcBorders>
              <w:bottom w:val="single" w:sz="4" w:space="0" w:color="auto"/>
            </w:tcBorders>
            <w:vAlign w:val="bottom"/>
          </w:tcPr>
          <w:p w14:paraId="375F621D"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250,229</w:t>
            </w:r>
          </w:p>
        </w:tc>
        <w:tc>
          <w:tcPr>
            <w:tcW w:w="1806" w:type="pct"/>
            <w:gridSpan w:val="6"/>
            <w:tcBorders>
              <w:bottom w:val="single" w:sz="4" w:space="0" w:color="auto"/>
            </w:tcBorders>
            <w:vAlign w:val="bottom"/>
          </w:tcPr>
          <w:p w14:paraId="6143CB53" w14:textId="61660784" w:rsidR="005C0B02" w:rsidRPr="007326DD" w:rsidRDefault="005C0B02" w:rsidP="002D2B2C">
            <w:pPr>
              <w:pStyle w:val="NoSpacing"/>
              <w:rPr>
                <w:rFonts w:ascii="Times New Roman" w:hAnsi="Times New Roman" w:cs="Times New Roman"/>
              </w:rPr>
            </w:pPr>
            <w:r w:rsidRPr="007326DD">
              <w:rPr>
                <w:rFonts w:ascii="Times New Roman" w:hAnsi="Times New Roman" w:cs="Times New Roman"/>
              </w:rPr>
              <w:t>250,229</w:t>
            </w:r>
            <w:r w:rsidR="00D04555" w:rsidRPr="007326DD">
              <w:rPr>
                <w:rFonts w:ascii="Times New Roman" w:hAnsi="Times New Roman" w:cs="Times New Roman"/>
              </w:rPr>
              <w:t xml:space="preserve">                                     </w:t>
            </w:r>
          </w:p>
        </w:tc>
        <w:tc>
          <w:tcPr>
            <w:tcW w:w="1054" w:type="pct"/>
            <w:tcBorders>
              <w:bottom w:val="single" w:sz="4" w:space="0" w:color="auto"/>
            </w:tcBorders>
            <w:vAlign w:val="bottom"/>
          </w:tcPr>
          <w:p w14:paraId="00DC125D"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195,201</w:t>
            </w:r>
          </w:p>
        </w:tc>
      </w:tr>
      <w:tr w:rsidR="005C0B02" w:rsidRPr="007326DD" w14:paraId="08983D4E" w14:textId="77777777" w:rsidTr="00C47D94">
        <w:trPr>
          <w:gridAfter w:val="1"/>
          <w:wAfter w:w="17" w:type="pct"/>
          <w:trHeight w:val="255"/>
          <w:jc w:val="center"/>
        </w:trPr>
        <w:tc>
          <w:tcPr>
            <w:tcW w:w="1068" w:type="pct"/>
            <w:tcBorders>
              <w:top w:val="single" w:sz="4" w:space="0" w:color="auto"/>
              <w:bottom w:val="single" w:sz="4" w:space="0" w:color="auto"/>
            </w:tcBorders>
            <w:shd w:val="clear" w:color="auto" w:fill="auto"/>
            <w:noWrap/>
            <w:vAlign w:val="bottom"/>
          </w:tcPr>
          <w:p w14:paraId="791ED6A2" w14:textId="77777777" w:rsidR="005C0B02" w:rsidRPr="007326DD" w:rsidRDefault="005C0B02" w:rsidP="00ED5D68">
            <w:pPr>
              <w:pStyle w:val="NoSpacing"/>
              <w:rPr>
                <w:rFonts w:ascii="Times New Roman" w:eastAsia="Times New Roman" w:hAnsi="Times New Roman" w:cs="Times New Roman"/>
              </w:rPr>
            </w:pPr>
          </w:p>
        </w:tc>
        <w:tc>
          <w:tcPr>
            <w:tcW w:w="3915" w:type="pct"/>
            <w:gridSpan w:val="8"/>
            <w:tcBorders>
              <w:top w:val="single" w:sz="4" w:space="0" w:color="auto"/>
              <w:bottom w:val="single" w:sz="4" w:space="0" w:color="auto"/>
            </w:tcBorders>
            <w:vAlign w:val="bottom"/>
          </w:tcPr>
          <w:p w14:paraId="2F1D0D69"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Long-term effects</w:t>
            </w:r>
          </w:p>
        </w:tc>
      </w:tr>
      <w:tr w:rsidR="005C0B02" w:rsidRPr="007326DD" w14:paraId="24AA5A68" w14:textId="77777777" w:rsidTr="00C47D94">
        <w:trPr>
          <w:gridAfter w:val="1"/>
          <w:wAfter w:w="17" w:type="pct"/>
          <w:trHeight w:val="255"/>
          <w:jc w:val="center"/>
        </w:trPr>
        <w:tc>
          <w:tcPr>
            <w:tcW w:w="1068" w:type="pct"/>
            <w:tcBorders>
              <w:top w:val="single" w:sz="4" w:space="0" w:color="auto"/>
            </w:tcBorders>
            <w:shd w:val="clear" w:color="auto" w:fill="auto"/>
            <w:noWrap/>
            <w:vAlign w:val="bottom"/>
          </w:tcPr>
          <w:p w14:paraId="537489BD" w14:textId="760CF214" w:rsidR="005C0B02" w:rsidRPr="007326DD" w:rsidRDefault="005C0B02" w:rsidP="00ED5D68">
            <w:pPr>
              <w:pStyle w:val="NoSpacing"/>
              <w:rPr>
                <w:rFonts w:ascii="Times New Roman" w:eastAsia="Times New Roman" w:hAnsi="Times New Roman" w:cs="Times New Roman"/>
              </w:rPr>
            </w:pPr>
            <w:r w:rsidRPr="007326DD">
              <w:rPr>
                <w:rFonts w:ascii="Times New Roman" w:eastAsia="Times New Roman" w:hAnsi="Times New Roman" w:cs="Times New Roman"/>
              </w:rPr>
              <w:t>1</w:t>
            </w:r>
            <w:r w:rsidRPr="007326DD">
              <w:rPr>
                <w:rFonts w:ascii="Times New Roman" w:eastAsia="Times New Roman" w:hAnsi="Times New Roman" w:cs="Times New Roman"/>
                <w:vertAlign w:val="superscript"/>
              </w:rPr>
              <w:t>st</w:t>
            </w:r>
            <w:r w:rsidRPr="007326DD">
              <w:rPr>
                <w:rFonts w:ascii="Times New Roman" w:eastAsia="Times New Roman" w:hAnsi="Times New Roman" w:cs="Times New Roman"/>
              </w:rPr>
              <w:t xml:space="preserve"> child </w:t>
            </w:r>
            <w:r w:rsidR="00E53C4E" w:rsidRPr="007326DD">
              <w:rPr>
                <w:rFonts w:ascii="Times New Roman" w:eastAsia="Times New Roman" w:hAnsi="Times New Roman" w:cs="Times New Roman"/>
              </w:rPr>
              <w:t>age</w:t>
            </w:r>
          </w:p>
        </w:tc>
        <w:tc>
          <w:tcPr>
            <w:tcW w:w="1054" w:type="pct"/>
            <w:tcBorders>
              <w:top w:val="single" w:sz="4" w:space="0" w:color="auto"/>
            </w:tcBorders>
            <w:vAlign w:val="bottom"/>
          </w:tcPr>
          <w:p w14:paraId="38D4FE8A"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-0.015**</w:t>
            </w:r>
          </w:p>
        </w:tc>
        <w:tc>
          <w:tcPr>
            <w:tcW w:w="1063" w:type="pct"/>
            <w:gridSpan w:val="3"/>
            <w:tcBorders>
              <w:top w:val="single" w:sz="4" w:space="0" w:color="auto"/>
            </w:tcBorders>
            <w:vAlign w:val="bottom"/>
          </w:tcPr>
          <w:p w14:paraId="5E35B6AB"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0.001</w:t>
            </w:r>
          </w:p>
        </w:tc>
        <w:tc>
          <w:tcPr>
            <w:tcW w:w="712" w:type="pct"/>
            <w:gridSpan w:val="2"/>
            <w:tcBorders>
              <w:top w:val="single" w:sz="4" w:space="0" w:color="auto"/>
            </w:tcBorders>
            <w:vAlign w:val="bottom"/>
          </w:tcPr>
          <w:p w14:paraId="4DADA359" w14:textId="77777777" w:rsidR="005C0B02" w:rsidRPr="007326DD" w:rsidRDefault="005C0B02" w:rsidP="0057473A">
            <w:pPr>
              <w:pStyle w:val="NoSpacing"/>
              <w:rPr>
                <w:rFonts w:ascii="Times New Roman" w:hAnsi="Times New Roman" w:cs="Times New Roman"/>
                <w:vertAlign w:val="superscript"/>
              </w:rPr>
            </w:pPr>
            <w:r w:rsidRPr="007326DD">
              <w:rPr>
                <w:rFonts w:ascii="Times New Roman" w:hAnsi="Times New Roman" w:cs="Times New Roman"/>
              </w:rPr>
              <w:t>-</w:t>
            </w:r>
            <w:r w:rsidRPr="007326DD">
              <w:rPr>
                <w:rFonts w:ascii="Times New Roman" w:hAnsi="Times New Roman" w:cs="Times New Roman"/>
                <w:vertAlign w:val="superscript"/>
              </w:rPr>
              <w:t>##</w:t>
            </w:r>
          </w:p>
        </w:tc>
        <w:tc>
          <w:tcPr>
            <w:tcW w:w="1086" w:type="pct"/>
            <w:gridSpan w:val="2"/>
            <w:tcBorders>
              <w:top w:val="single" w:sz="4" w:space="0" w:color="auto"/>
            </w:tcBorders>
            <w:vAlign w:val="bottom"/>
          </w:tcPr>
          <w:p w14:paraId="19607662"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-0.032</w:t>
            </w:r>
          </w:p>
        </w:tc>
      </w:tr>
      <w:tr w:rsidR="005C0B02" w:rsidRPr="007326DD" w14:paraId="56203746" w14:textId="77777777" w:rsidTr="00C47D94">
        <w:trPr>
          <w:gridAfter w:val="1"/>
          <w:wAfter w:w="17" w:type="pct"/>
          <w:trHeight w:val="255"/>
          <w:jc w:val="center"/>
        </w:trPr>
        <w:tc>
          <w:tcPr>
            <w:tcW w:w="1068" w:type="pct"/>
            <w:shd w:val="clear" w:color="auto" w:fill="auto"/>
            <w:noWrap/>
            <w:vAlign w:val="bottom"/>
          </w:tcPr>
          <w:p w14:paraId="365B023A" w14:textId="69AFF30E" w:rsidR="005C0B02" w:rsidRPr="007326DD" w:rsidRDefault="005C0B02" w:rsidP="00ED5D68">
            <w:pPr>
              <w:pStyle w:val="NoSpacing"/>
              <w:rPr>
                <w:rFonts w:ascii="Times New Roman" w:eastAsia="Times New Roman" w:hAnsi="Times New Roman" w:cs="Times New Roman"/>
              </w:rPr>
            </w:pPr>
          </w:p>
        </w:tc>
        <w:tc>
          <w:tcPr>
            <w:tcW w:w="1054" w:type="pct"/>
            <w:vAlign w:val="bottom"/>
          </w:tcPr>
          <w:p w14:paraId="5C71389F"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(0.006)</w:t>
            </w:r>
          </w:p>
        </w:tc>
        <w:tc>
          <w:tcPr>
            <w:tcW w:w="1063" w:type="pct"/>
            <w:gridSpan w:val="3"/>
            <w:vAlign w:val="bottom"/>
          </w:tcPr>
          <w:p w14:paraId="7E960586"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(0.008)</w:t>
            </w:r>
          </w:p>
        </w:tc>
        <w:tc>
          <w:tcPr>
            <w:tcW w:w="712" w:type="pct"/>
            <w:gridSpan w:val="2"/>
            <w:vAlign w:val="bottom"/>
          </w:tcPr>
          <w:p w14:paraId="5C5ED6BF"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w:t>
            </w:r>
          </w:p>
        </w:tc>
        <w:tc>
          <w:tcPr>
            <w:tcW w:w="1086" w:type="pct"/>
            <w:gridSpan w:val="2"/>
            <w:vAlign w:val="bottom"/>
          </w:tcPr>
          <w:p w14:paraId="3D613AF9"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(0.019)</w:t>
            </w:r>
          </w:p>
        </w:tc>
      </w:tr>
      <w:tr w:rsidR="005C0B02" w:rsidRPr="007326DD" w14:paraId="73046164" w14:textId="77777777" w:rsidTr="00C47D94">
        <w:trPr>
          <w:gridAfter w:val="1"/>
          <w:wAfter w:w="17" w:type="pct"/>
          <w:trHeight w:val="255"/>
          <w:jc w:val="center"/>
        </w:trPr>
        <w:tc>
          <w:tcPr>
            <w:tcW w:w="1068" w:type="pct"/>
            <w:shd w:val="clear" w:color="auto" w:fill="auto"/>
            <w:noWrap/>
            <w:vAlign w:val="bottom"/>
          </w:tcPr>
          <w:p w14:paraId="2CF569F3" w14:textId="77777777" w:rsidR="005C0B02" w:rsidRPr="007326DD" w:rsidRDefault="005C0B02" w:rsidP="00ED5D68">
            <w:pPr>
              <w:pStyle w:val="NoSpacing"/>
              <w:rPr>
                <w:rFonts w:ascii="Times New Roman" w:eastAsia="Times New Roman" w:hAnsi="Times New Roman" w:cs="Times New Roman"/>
              </w:rPr>
            </w:pPr>
            <w:r w:rsidRPr="007326DD">
              <w:rPr>
                <w:rFonts w:ascii="Times New Roman" w:eastAsia="Times New Roman" w:hAnsi="Times New Roman" w:cs="Times New Roman"/>
              </w:rPr>
              <w:t>N children</w:t>
            </w:r>
          </w:p>
        </w:tc>
        <w:tc>
          <w:tcPr>
            <w:tcW w:w="1054" w:type="pct"/>
            <w:vAlign w:val="bottom"/>
          </w:tcPr>
          <w:p w14:paraId="5DEE49DF"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-0.001</w:t>
            </w:r>
          </w:p>
        </w:tc>
        <w:tc>
          <w:tcPr>
            <w:tcW w:w="1063" w:type="pct"/>
            <w:gridSpan w:val="3"/>
            <w:vAlign w:val="bottom"/>
          </w:tcPr>
          <w:p w14:paraId="1994CB80"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0.01**</w:t>
            </w:r>
          </w:p>
        </w:tc>
        <w:tc>
          <w:tcPr>
            <w:tcW w:w="712" w:type="pct"/>
            <w:gridSpan w:val="2"/>
            <w:vAlign w:val="bottom"/>
          </w:tcPr>
          <w:p w14:paraId="7C4FBF05"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w:t>
            </w:r>
          </w:p>
        </w:tc>
        <w:tc>
          <w:tcPr>
            <w:tcW w:w="1086" w:type="pct"/>
            <w:gridSpan w:val="2"/>
            <w:vAlign w:val="bottom"/>
          </w:tcPr>
          <w:p w14:paraId="1A6014A3"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-0.019***</w:t>
            </w:r>
          </w:p>
        </w:tc>
      </w:tr>
      <w:tr w:rsidR="005C0B02" w:rsidRPr="007326DD" w14:paraId="2D74A6BC" w14:textId="77777777" w:rsidTr="00C47D94">
        <w:trPr>
          <w:gridAfter w:val="1"/>
          <w:wAfter w:w="17" w:type="pct"/>
          <w:trHeight w:val="255"/>
          <w:jc w:val="center"/>
        </w:trPr>
        <w:tc>
          <w:tcPr>
            <w:tcW w:w="1068" w:type="pct"/>
            <w:shd w:val="clear" w:color="auto" w:fill="auto"/>
            <w:noWrap/>
            <w:vAlign w:val="bottom"/>
          </w:tcPr>
          <w:p w14:paraId="0A1931AB" w14:textId="77777777" w:rsidR="005C0B02" w:rsidRPr="007326DD" w:rsidRDefault="005C0B02" w:rsidP="00ED5D68">
            <w:pPr>
              <w:pStyle w:val="NoSpacing"/>
              <w:rPr>
                <w:rFonts w:ascii="Times New Roman" w:eastAsia="Times New Roman" w:hAnsi="Times New Roman" w:cs="Times New Roman"/>
              </w:rPr>
            </w:pPr>
          </w:p>
        </w:tc>
        <w:tc>
          <w:tcPr>
            <w:tcW w:w="1054" w:type="pct"/>
            <w:vAlign w:val="bottom"/>
          </w:tcPr>
          <w:p w14:paraId="039315A9"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(0.004)</w:t>
            </w:r>
          </w:p>
        </w:tc>
        <w:tc>
          <w:tcPr>
            <w:tcW w:w="1063" w:type="pct"/>
            <w:gridSpan w:val="3"/>
            <w:vAlign w:val="bottom"/>
          </w:tcPr>
          <w:p w14:paraId="3CB2B223"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(0.004)</w:t>
            </w:r>
          </w:p>
        </w:tc>
        <w:tc>
          <w:tcPr>
            <w:tcW w:w="712" w:type="pct"/>
            <w:gridSpan w:val="2"/>
            <w:vAlign w:val="bottom"/>
          </w:tcPr>
          <w:p w14:paraId="2E68B5F8"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w:t>
            </w:r>
          </w:p>
        </w:tc>
        <w:tc>
          <w:tcPr>
            <w:tcW w:w="1086" w:type="pct"/>
            <w:gridSpan w:val="2"/>
            <w:vAlign w:val="bottom"/>
          </w:tcPr>
          <w:p w14:paraId="0219A8FD"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(0.006)</w:t>
            </w:r>
          </w:p>
        </w:tc>
      </w:tr>
      <w:tr w:rsidR="005C0B02" w:rsidRPr="007326DD" w14:paraId="4D5E67FA" w14:textId="77777777" w:rsidTr="00C47D94">
        <w:trPr>
          <w:gridAfter w:val="1"/>
          <w:wAfter w:w="17" w:type="pct"/>
          <w:trHeight w:val="255"/>
          <w:jc w:val="center"/>
        </w:trPr>
        <w:tc>
          <w:tcPr>
            <w:tcW w:w="1068" w:type="pct"/>
            <w:shd w:val="clear" w:color="auto" w:fill="auto"/>
            <w:noWrap/>
            <w:vAlign w:val="bottom"/>
          </w:tcPr>
          <w:p w14:paraId="6F2D564F" w14:textId="77777777" w:rsidR="005C0B02" w:rsidRPr="007326DD" w:rsidRDefault="005C0B02" w:rsidP="00ED5D68">
            <w:pPr>
              <w:pStyle w:val="NoSpacing"/>
              <w:rPr>
                <w:rFonts w:ascii="Times New Roman" w:eastAsia="Times New Roman" w:hAnsi="Times New Roman" w:cs="Times New Roman"/>
              </w:rPr>
            </w:pPr>
            <w:r w:rsidRPr="007326DD">
              <w:rPr>
                <w:rFonts w:ascii="Times New Roman" w:eastAsia="Times New Roman" w:hAnsi="Times New Roman" w:cs="Times New Roman"/>
              </w:rPr>
              <w:t>Child death</w:t>
            </w:r>
          </w:p>
        </w:tc>
        <w:tc>
          <w:tcPr>
            <w:tcW w:w="1054" w:type="pct"/>
            <w:vAlign w:val="bottom"/>
          </w:tcPr>
          <w:p w14:paraId="395507A4"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0.001**</w:t>
            </w:r>
          </w:p>
        </w:tc>
        <w:tc>
          <w:tcPr>
            <w:tcW w:w="1063" w:type="pct"/>
            <w:gridSpan w:val="3"/>
            <w:vAlign w:val="bottom"/>
          </w:tcPr>
          <w:p w14:paraId="0E12EA7C"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0.001</w:t>
            </w:r>
          </w:p>
        </w:tc>
        <w:tc>
          <w:tcPr>
            <w:tcW w:w="712" w:type="pct"/>
            <w:gridSpan w:val="2"/>
            <w:vAlign w:val="bottom"/>
          </w:tcPr>
          <w:p w14:paraId="06BA4A9A"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w:t>
            </w:r>
          </w:p>
        </w:tc>
        <w:tc>
          <w:tcPr>
            <w:tcW w:w="1086" w:type="pct"/>
            <w:gridSpan w:val="2"/>
            <w:vAlign w:val="bottom"/>
          </w:tcPr>
          <w:p w14:paraId="33CCA839"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-0.002**</w:t>
            </w:r>
          </w:p>
        </w:tc>
      </w:tr>
      <w:tr w:rsidR="005C0B02" w:rsidRPr="007326DD" w14:paraId="13079880" w14:textId="77777777" w:rsidTr="00C47D94">
        <w:trPr>
          <w:gridAfter w:val="1"/>
          <w:wAfter w:w="17" w:type="pct"/>
          <w:trHeight w:val="255"/>
          <w:jc w:val="center"/>
        </w:trPr>
        <w:tc>
          <w:tcPr>
            <w:tcW w:w="1068" w:type="pct"/>
            <w:shd w:val="clear" w:color="auto" w:fill="auto"/>
            <w:noWrap/>
            <w:vAlign w:val="bottom"/>
          </w:tcPr>
          <w:p w14:paraId="39C7B06C" w14:textId="77777777" w:rsidR="005C0B02" w:rsidRPr="007326DD" w:rsidRDefault="005C0B02" w:rsidP="00ED5D68">
            <w:pPr>
              <w:pStyle w:val="NoSpacing"/>
              <w:rPr>
                <w:rFonts w:ascii="Times New Roman" w:eastAsia="Times New Roman" w:hAnsi="Times New Roman" w:cs="Times New Roman"/>
              </w:rPr>
            </w:pPr>
          </w:p>
        </w:tc>
        <w:tc>
          <w:tcPr>
            <w:tcW w:w="1054" w:type="pct"/>
            <w:vAlign w:val="bottom"/>
          </w:tcPr>
          <w:p w14:paraId="3CC7E777"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(0.0005)</w:t>
            </w:r>
          </w:p>
        </w:tc>
        <w:tc>
          <w:tcPr>
            <w:tcW w:w="1063" w:type="pct"/>
            <w:gridSpan w:val="3"/>
            <w:vAlign w:val="bottom"/>
          </w:tcPr>
          <w:p w14:paraId="5C079DF7"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(0.001)</w:t>
            </w:r>
          </w:p>
        </w:tc>
        <w:tc>
          <w:tcPr>
            <w:tcW w:w="712" w:type="pct"/>
            <w:gridSpan w:val="2"/>
            <w:vAlign w:val="bottom"/>
          </w:tcPr>
          <w:p w14:paraId="2B43EF7D"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w:t>
            </w:r>
          </w:p>
        </w:tc>
        <w:tc>
          <w:tcPr>
            <w:tcW w:w="1086" w:type="pct"/>
            <w:gridSpan w:val="2"/>
            <w:vAlign w:val="bottom"/>
          </w:tcPr>
          <w:p w14:paraId="68475152"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(0.001)</w:t>
            </w:r>
          </w:p>
        </w:tc>
      </w:tr>
      <w:tr w:rsidR="005C0B02" w:rsidRPr="007326DD" w14:paraId="183AC830" w14:textId="77777777" w:rsidTr="00C47D94">
        <w:trPr>
          <w:gridAfter w:val="1"/>
          <w:wAfter w:w="17" w:type="pct"/>
          <w:trHeight w:val="255"/>
          <w:jc w:val="center"/>
        </w:trPr>
        <w:tc>
          <w:tcPr>
            <w:tcW w:w="1068" w:type="pct"/>
            <w:tcBorders>
              <w:bottom w:val="single" w:sz="4" w:space="0" w:color="auto"/>
            </w:tcBorders>
            <w:shd w:val="clear" w:color="auto" w:fill="auto"/>
            <w:noWrap/>
            <w:vAlign w:val="bottom"/>
          </w:tcPr>
          <w:p w14:paraId="25721495" w14:textId="77777777" w:rsidR="005C0B02" w:rsidRPr="007326DD" w:rsidRDefault="005C0B02" w:rsidP="00ED5D68">
            <w:pPr>
              <w:pStyle w:val="NoSpacing"/>
              <w:rPr>
                <w:rFonts w:ascii="Times New Roman" w:eastAsia="Times New Roman" w:hAnsi="Times New Roman" w:cs="Times New Roman"/>
              </w:rPr>
            </w:pPr>
            <w:proofErr w:type="spellStart"/>
            <w:r w:rsidRPr="007326DD">
              <w:rPr>
                <w:rFonts w:ascii="Times New Roman" w:hAnsi="Times New Roman" w:cs="Times New Roman"/>
              </w:rPr>
              <w:t>Obs</w:t>
            </w:r>
            <w:proofErr w:type="spellEnd"/>
          </w:p>
        </w:tc>
        <w:tc>
          <w:tcPr>
            <w:tcW w:w="1054" w:type="pct"/>
            <w:tcBorders>
              <w:bottom w:val="single" w:sz="4" w:space="0" w:color="auto"/>
            </w:tcBorders>
            <w:vAlign w:val="bottom"/>
          </w:tcPr>
          <w:p w14:paraId="248C66CE"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44,924</w:t>
            </w:r>
          </w:p>
        </w:tc>
        <w:tc>
          <w:tcPr>
            <w:tcW w:w="1063" w:type="pct"/>
            <w:gridSpan w:val="3"/>
            <w:tcBorders>
              <w:bottom w:val="single" w:sz="4" w:space="0" w:color="auto"/>
            </w:tcBorders>
            <w:vAlign w:val="bottom"/>
          </w:tcPr>
          <w:p w14:paraId="3950BC09"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44,924</w:t>
            </w:r>
          </w:p>
        </w:tc>
        <w:tc>
          <w:tcPr>
            <w:tcW w:w="712" w:type="pct"/>
            <w:gridSpan w:val="2"/>
            <w:tcBorders>
              <w:bottom w:val="single" w:sz="4" w:space="0" w:color="auto"/>
            </w:tcBorders>
            <w:vAlign w:val="bottom"/>
          </w:tcPr>
          <w:p w14:paraId="694A7EE2" w14:textId="77777777" w:rsidR="005C0B02" w:rsidRPr="007326DD" w:rsidRDefault="005C0B02" w:rsidP="00ED5D68">
            <w:pPr>
              <w:pStyle w:val="NoSpacing"/>
              <w:rPr>
                <w:rFonts w:ascii="Times New Roman" w:hAnsi="Times New Roman" w:cs="Times New Roman"/>
              </w:rPr>
            </w:pPr>
            <w:r w:rsidRPr="007326DD">
              <w:rPr>
                <w:rFonts w:ascii="Times New Roman" w:hAnsi="Times New Roman" w:cs="Times New Roman"/>
              </w:rPr>
              <w:t>-</w:t>
            </w:r>
          </w:p>
        </w:tc>
        <w:tc>
          <w:tcPr>
            <w:tcW w:w="1086" w:type="pct"/>
            <w:gridSpan w:val="2"/>
            <w:tcBorders>
              <w:bottom w:val="single" w:sz="4" w:space="0" w:color="auto"/>
            </w:tcBorders>
            <w:vAlign w:val="bottom"/>
          </w:tcPr>
          <w:p w14:paraId="69F2873B" w14:textId="77777777" w:rsidR="005C0B02" w:rsidRPr="007326DD" w:rsidRDefault="005C0B02" w:rsidP="00D04555">
            <w:pPr>
              <w:pStyle w:val="NoSpacing"/>
              <w:jc w:val="center"/>
              <w:rPr>
                <w:rFonts w:ascii="Times New Roman" w:hAnsi="Times New Roman" w:cs="Times New Roman"/>
              </w:rPr>
            </w:pPr>
            <w:r w:rsidRPr="007326DD">
              <w:rPr>
                <w:rFonts w:ascii="Times New Roman" w:hAnsi="Times New Roman" w:cs="Times New Roman"/>
              </w:rPr>
              <w:t>35,566</w:t>
            </w:r>
          </w:p>
        </w:tc>
      </w:tr>
    </w:tbl>
    <w:p w14:paraId="10E17E15" w14:textId="6F42A5B5" w:rsidR="00A31932" w:rsidRPr="008467F4" w:rsidRDefault="0075390B" w:rsidP="008467F4">
      <w:pPr>
        <w:spacing w:after="0" w:line="240" w:lineRule="auto"/>
        <w:jc w:val="both"/>
        <w:rPr>
          <w:rFonts w:ascii="Times New Roman" w:hAnsi="Times New Roman" w:cs="Times New Roman"/>
          <w:sz w:val="18"/>
          <w:szCs w:val="18"/>
        </w:rPr>
      </w:pPr>
      <w:r w:rsidRPr="00E53C4E">
        <w:rPr>
          <w:rFonts w:ascii="Times New Roman" w:hAnsi="Times New Roman" w:cs="Times New Roman"/>
          <w:sz w:val="18"/>
          <w:szCs w:val="18"/>
        </w:rPr>
        <w:t>*Significant at the 10%; ** 5%; ***</w:t>
      </w:r>
      <w:r w:rsidR="00D04555">
        <w:rPr>
          <w:rFonts w:ascii="Times New Roman" w:hAnsi="Times New Roman" w:cs="Times New Roman"/>
          <w:sz w:val="18"/>
          <w:szCs w:val="18"/>
        </w:rPr>
        <w:t>and</w:t>
      </w:r>
      <w:r w:rsidRPr="00E53C4E">
        <w:rPr>
          <w:rFonts w:ascii="Times New Roman" w:hAnsi="Times New Roman" w:cs="Times New Roman"/>
          <w:sz w:val="18"/>
          <w:szCs w:val="18"/>
        </w:rPr>
        <w:t xml:space="preserve"> 1% level</w:t>
      </w:r>
      <w:proofErr w:type="gramStart"/>
      <w:r w:rsidR="00541398" w:rsidRPr="00E53C4E">
        <w:rPr>
          <w:rFonts w:ascii="Times New Roman" w:hAnsi="Times New Roman" w:cs="Times New Roman"/>
          <w:sz w:val="18"/>
          <w:szCs w:val="18"/>
        </w:rPr>
        <w:t>;</w:t>
      </w:r>
      <w:r w:rsidR="00D04555">
        <w:rPr>
          <w:rFonts w:ascii="Times New Roman" w:hAnsi="Times New Roman" w:cs="Times New Roman"/>
          <w:sz w:val="18"/>
          <w:szCs w:val="18"/>
        </w:rPr>
        <w:t xml:space="preserve"> </w:t>
      </w:r>
      <w:r w:rsidR="00541398" w:rsidRPr="00E53C4E">
        <w:rPr>
          <w:rFonts w:ascii="Times New Roman" w:hAnsi="Times New Roman" w:cs="Times New Roman"/>
          <w:sz w:val="18"/>
          <w:szCs w:val="18"/>
          <w:vertAlign w:val="superscript"/>
        </w:rPr>
        <w:t xml:space="preserve"> </w:t>
      </w:r>
      <w:r w:rsidRPr="00E53C4E">
        <w:rPr>
          <w:rFonts w:ascii="Times New Roman" w:hAnsi="Times New Roman" w:cs="Times New Roman"/>
          <w:sz w:val="18"/>
          <w:szCs w:val="18"/>
          <w:vertAlign w:val="superscript"/>
        </w:rPr>
        <w:t>#</w:t>
      </w:r>
      <w:proofErr w:type="gramEnd"/>
      <w:r w:rsidR="00A31932" w:rsidRPr="00E53C4E">
        <w:rPr>
          <w:rFonts w:ascii="Times New Roman" w:hAnsi="Times New Roman" w:cs="Times New Roman"/>
          <w:sz w:val="18"/>
          <w:szCs w:val="18"/>
        </w:rPr>
        <w:t>all specifications include parish of birth and cohort fixed effects</w:t>
      </w:r>
      <w:r w:rsidR="00D04555">
        <w:rPr>
          <w:rFonts w:ascii="Times New Roman" w:hAnsi="Times New Roman" w:cs="Times New Roman"/>
          <w:sz w:val="18"/>
          <w:szCs w:val="18"/>
        </w:rPr>
        <w:t xml:space="preserve"> and</w:t>
      </w:r>
      <w:r w:rsidR="00A31932" w:rsidRPr="00E53C4E">
        <w:rPr>
          <w:rFonts w:ascii="Times New Roman" w:hAnsi="Times New Roman" w:cs="Times New Roman"/>
          <w:sz w:val="18"/>
          <w:szCs w:val="18"/>
        </w:rPr>
        <w:t xml:space="preserve"> </w:t>
      </w:r>
      <w:r w:rsidR="009D3EBA">
        <w:rPr>
          <w:rFonts w:ascii="Times New Roman" w:hAnsi="Times New Roman" w:cs="Times New Roman"/>
          <w:sz w:val="18"/>
          <w:szCs w:val="18"/>
        </w:rPr>
        <w:t>region</w:t>
      </w:r>
      <w:r w:rsidR="00A31932" w:rsidRPr="00E53C4E">
        <w:rPr>
          <w:rFonts w:ascii="Times New Roman" w:hAnsi="Times New Roman" w:cs="Times New Roman"/>
          <w:sz w:val="18"/>
          <w:szCs w:val="18"/>
        </w:rPr>
        <w:t xml:space="preserve">-specific linear trends. </w:t>
      </w:r>
      <w:r w:rsidR="004C1AB9">
        <w:rPr>
          <w:rFonts w:ascii="Times New Roman" w:hAnsi="Times New Roman" w:cs="Times New Roman"/>
          <w:sz w:val="18"/>
          <w:szCs w:val="18"/>
        </w:rPr>
        <w:t>We do not report dummy estimates for the middle range of grain suitability in the interest of space. SEs</w:t>
      </w:r>
      <w:r w:rsidR="00A31932" w:rsidRPr="00E53C4E">
        <w:rPr>
          <w:rFonts w:ascii="Times New Roman" w:hAnsi="Times New Roman" w:cs="Times New Roman"/>
          <w:sz w:val="18"/>
          <w:szCs w:val="18"/>
        </w:rPr>
        <w:t xml:space="preserve"> are clustered on the parish of birth level, reported in parentheses under the coefficient estimate</w:t>
      </w:r>
      <w:r w:rsidR="00734936" w:rsidRPr="00E53C4E">
        <w:rPr>
          <w:rFonts w:ascii="Times New Roman" w:hAnsi="Times New Roman" w:cs="Times New Roman"/>
          <w:sz w:val="18"/>
          <w:szCs w:val="18"/>
        </w:rPr>
        <w:t>;</w:t>
      </w:r>
      <w:r w:rsidR="00D04555">
        <w:rPr>
          <w:rFonts w:ascii="Times New Roman" w:hAnsi="Times New Roman" w:cs="Times New Roman"/>
          <w:sz w:val="18"/>
          <w:szCs w:val="18"/>
        </w:rPr>
        <w:t xml:space="preserve"> </w:t>
      </w:r>
      <w:r w:rsidRPr="00E53C4E">
        <w:rPr>
          <w:rFonts w:ascii="Times New Roman" w:hAnsi="Times New Roman" w:cs="Times New Roman"/>
          <w:sz w:val="18"/>
          <w:szCs w:val="18"/>
          <w:vertAlign w:val="superscript"/>
        </w:rPr>
        <w:t>##</w:t>
      </w:r>
      <w:proofErr w:type="gramStart"/>
      <w:r w:rsidR="00184640" w:rsidRPr="00E53C4E">
        <w:rPr>
          <w:rFonts w:ascii="Times New Roman" w:hAnsi="Times New Roman" w:cs="Times New Roman"/>
          <w:sz w:val="18"/>
          <w:szCs w:val="18"/>
        </w:rPr>
        <w:t>The</w:t>
      </w:r>
      <w:proofErr w:type="gramEnd"/>
      <w:r w:rsidR="00184640" w:rsidRPr="00E53C4E">
        <w:rPr>
          <w:rFonts w:ascii="Times New Roman" w:hAnsi="Times New Roman" w:cs="Times New Roman"/>
          <w:sz w:val="18"/>
          <w:szCs w:val="18"/>
        </w:rPr>
        <w:t xml:space="preserve"> sample period is too short (last </w:t>
      </w:r>
      <w:r w:rsidR="00541398" w:rsidRPr="00E53C4E">
        <w:rPr>
          <w:rFonts w:ascii="Times New Roman" w:hAnsi="Times New Roman" w:cs="Times New Roman"/>
          <w:sz w:val="18"/>
          <w:szCs w:val="18"/>
        </w:rPr>
        <w:t xml:space="preserve">cohort </w:t>
      </w:r>
      <w:r w:rsidR="00184640" w:rsidRPr="00E53C4E">
        <w:rPr>
          <w:rFonts w:ascii="Times New Roman" w:hAnsi="Times New Roman" w:cs="Times New Roman"/>
          <w:sz w:val="18"/>
          <w:szCs w:val="18"/>
        </w:rPr>
        <w:t>born in 1890) to analyze the long-term effects of the wheat shocks</w:t>
      </w:r>
    </w:p>
    <w:p w14:paraId="5F0629B6" w14:textId="77777777" w:rsidR="00C94CB0" w:rsidRDefault="00C94CB0" w:rsidP="00A80509">
      <w:pPr>
        <w:rPr>
          <w:rFonts w:ascii="Times New Roman" w:hAnsi="Times New Roman" w:cs="Times New Roman"/>
        </w:rPr>
        <w:sectPr w:rsidR="00C94CB0" w:rsidSect="007D7144">
          <w:footerReference w:type="default" r:id="rId8"/>
          <w:pgSz w:w="12240" w:h="15840"/>
          <w:pgMar w:top="1368" w:right="1440" w:bottom="1354" w:left="1440" w:header="720" w:footer="720" w:gutter="0"/>
          <w:cols w:space="720"/>
          <w:docGrid w:linePitch="360"/>
        </w:sectPr>
      </w:pPr>
    </w:p>
    <w:tbl>
      <w:tblPr>
        <w:tblStyle w:val="TableGrid"/>
        <w:tblW w:w="9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9"/>
        <w:gridCol w:w="3089"/>
      </w:tblGrid>
      <w:tr w:rsidR="005C0B02" w14:paraId="4CC9A3A4" w14:textId="77777777" w:rsidTr="00E5018E">
        <w:tc>
          <w:tcPr>
            <w:tcW w:w="6629" w:type="dxa"/>
          </w:tcPr>
          <w:p w14:paraId="63ADF184" w14:textId="285BA643" w:rsidR="005C0B02" w:rsidRPr="005C0B02" w:rsidRDefault="005C0B02" w:rsidP="00A80509">
            <w:pPr>
              <w:rPr>
                <w:rFonts w:ascii="Times New Roman" w:hAnsi="Times New Roman" w:cs="Times New Roman"/>
              </w:rPr>
            </w:pPr>
            <w:r>
              <w:rPr>
                <w:rFonts w:ascii="Times New Roman" w:hAnsi="Times New Roman" w:cs="Times New Roman"/>
              </w:rPr>
              <w:lastRenderedPageBreak/>
              <w:t xml:space="preserve">Figure </w:t>
            </w:r>
            <w:r w:rsidRPr="006707A9">
              <w:rPr>
                <w:rFonts w:ascii="Times New Roman" w:hAnsi="Times New Roman" w:cs="Times New Roman"/>
              </w:rPr>
              <w:t>1</w:t>
            </w:r>
            <w:r w:rsidR="00E5018E">
              <w:rPr>
                <w:rFonts w:ascii="Times New Roman" w:hAnsi="Times New Roman" w:cs="Times New Roman"/>
              </w:rPr>
              <w:t>A</w:t>
            </w:r>
            <w:r w:rsidRPr="006707A9">
              <w:rPr>
                <w:rFonts w:ascii="Times New Roman" w:hAnsi="Times New Roman" w:cs="Times New Roman"/>
              </w:rPr>
              <w:t xml:space="preserve">: Swedish </w:t>
            </w:r>
            <w:r w:rsidR="00E5018E">
              <w:rPr>
                <w:rFonts w:ascii="Times New Roman" w:hAnsi="Times New Roman" w:cs="Times New Roman"/>
              </w:rPr>
              <w:t>E</w:t>
            </w:r>
            <w:r w:rsidRPr="006707A9">
              <w:rPr>
                <w:rFonts w:ascii="Times New Roman" w:hAnsi="Times New Roman" w:cs="Times New Roman"/>
              </w:rPr>
              <w:t xml:space="preserve">xports, </w:t>
            </w:r>
            <w:r w:rsidR="00E5018E">
              <w:rPr>
                <w:rFonts w:ascii="Times New Roman" w:hAnsi="Times New Roman" w:cs="Times New Roman"/>
              </w:rPr>
              <w:t>E</w:t>
            </w:r>
            <w:r w:rsidRPr="006707A9">
              <w:rPr>
                <w:rFonts w:ascii="Times New Roman" w:hAnsi="Times New Roman" w:cs="Times New Roman"/>
              </w:rPr>
              <w:t xml:space="preserve">xport </w:t>
            </w:r>
            <w:r w:rsidR="00E5018E">
              <w:rPr>
                <w:rFonts w:ascii="Times New Roman" w:hAnsi="Times New Roman" w:cs="Times New Roman"/>
              </w:rPr>
              <w:t>S</w:t>
            </w:r>
            <w:r w:rsidRPr="006707A9">
              <w:rPr>
                <w:rFonts w:ascii="Times New Roman" w:hAnsi="Times New Roman" w:cs="Times New Roman"/>
              </w:rPr>
              <w:t xml:space="preserve">hocks, and </w:t>
            </w:r>
            <w:r w:rsidR="00E5018E">
              <w:rPr>
                <w:rFonts w:ascii="Times New Roman" w:hAnsi="Times New Roman" w:cs="Times New Roman"/>
              </w:rPr>
              <w:t>N</w:t>
            </w:r>
            <w:r w:rsidRPr="006707A9">
              <w:rPr>
                <w:rFonts w:ascii="Times New Roman" w:hAnsi="Times New Roman" w:cs="Times New Roman"/>
              </w:rPr>
              <w:t xml:space="preserve">ational </w:t>
            </w:r>
            <w:r w:rsidR="00E5018E">
              <w:rPr>
                <w:rFonts w:ascii="Times New Roman" w:hAnsi="Times New Roman" w:cs="Times New Roman"/>
              </w:rPr>
              <w:t>P</w:t>
            </w:r>
            <w:r w:rsidRPr="006707A9">
              <w:rPr>
                <w:rFonts w:ascii="Times New Roman" w:hAnsi="Times New Roman" w:cs="Times New Roman"/>
              </w:rPr>
              <w:t xml:space="preserve">rice </w:t>
            </w:r>
            <w:r w:rsidR="00E5018E">
              <w:rPr>
                <w:rFonts w:ascii="Times New Roman" w:hAnsi="Times New Roman" w:cs="Times New Roman"/>
              </w:rPr>
              <w:t>I</w:t>
            </w:r>
            <w:r w:rsidRPr="006707A9">
              <w:rPr>
                <w:rFonts w:ascii="Times New Roman" w:hAnsi="Times New Roman" w:cs="Times New Roman"/>
              </w:rPr>
              <w:t>ndices</w:t>
            </w:r>
          </w:p>
        </w:tc>
        <w:tc>
          <w:tcPr>
            <w:tcW w:w="3089" w:type="dxa"/>
          </w:tcPr>
          <w:p w14:paraId="231737EF" w14:textId="6843087F" w:rsidR="005C0B02" w:rsidRPr="00E5018E" w:rsidRDefault="005C0B02" w:rsidP="00E5018E">
            <w:pPr>
              <w:rPr>
                <w:rFonts w:ascii="Times New Roman" w:hAnsi="Times New Roman" w:cs="Times New Roman"/>
                <w:noProof/>
              </w:rPr>
            </w:pPr>
            <w:r w:rsidRPr="00E5018E">
              <w:rPr>
                <w:rFonts w:ascii="Times New Roman" w:hAnsi="Times New Roman" w:cs="Times New Roman"/>
                <w:noProof/>
              </w:rPr>
              <w:t xml:space="preserve">Figure </w:t>
            </w:r>
            <w:r w:rsidR="00E5018E">
              <w:rPr>
                <w:rFonts w:ascii="Times New Roman" w:hAnsi="Times New Roman" w:cs="Times New Roman"/>
                <w:noProof/>
              </w:rPr>
              <w:t>1B</w:t>
            </w:r>
            <w:r w:rsidRPr="00E5018E">
              <w:rPr>
                <w:rFonts w:ascii="Times New Roman" w:hAnsi="Times New Roman" w:cs="Times New Roman"/>
                <w:noProof/>
              </w:rPr>
              <w:t>:</w:t>
            </w:r>
            <w:r w:rsidR="00E5018E" w:rsidRPr="00E5018E">
              <w:rPr>
                <w:rFonts w:ascii="Times New Roman" w:hAnsi="Times New Roman" w:cs="Times New Roman"/>
                <w:noProof/>
              </w:rPr>
              <w:t xml:space="preserve"> Suitability</w:t>
            </w:r>
            <w:r w:rsidR="00E5018E">
              <w:rPr>
                <w:rFonts w:ascii="Times New Roman" w:hAnsi="Times New Roman" w:cs="Times New Roman"/>
                <w:noProof/>
              </w:rPr>
              <w:t xml:space="preserve"> </w:t>
            </w:r>
            <w:r w:rsidR="00E5018E">
              <w:rPr>
                <w:rFonts w:ascii="Times New Roman" w:hAnsi="Times New Roman" w:cs="Times New Roman"/>
              </w:rPr>
              <w:t>I</w:t>
            </w:r>
            <w:r w:rsidR="00E5018E" w:rsidRPr="006707A9">
              <w:rPr>
                <w:rFonts w:ascii="Times New Roman" w:hAnsi="Times New Roman" w:cs="Times New Roman"/>
              </w:rPr>
              <w:t>ndices</w:t>
            </w:r>
          </w:p>
        </w:tc>
      </w:tr>
      <w:tr w:rsidR="005C0B02" w14:paraId="1AE97494" w14:textId="08A991EB" w:rsidTr="00E5018E">
        <w:tc>
          <w:tcPr>
            <w:tcW w:w="6629" w:type="dxa"/>
          </w:tcPr>
          <w:p w14:paraId="6F97501E" w14:textId="77777777" w:rsidR="005C0B02" w:rsidRDefault="005C0B02" w:rsidP="00ED5D68">
            <w:r w:rsidRPr="0003110F">
              <w:rPr>
                <w:noProof/>
              </w:rPr>
              <w:drawing>
                <wp:inline distT="0" distB="0" distL="0" distR="0" wp14:anchorId="092A17FA" wp14:editId="2EE68CDD">
                  <wp:extent cx="4083050" cy="296631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p_prices_lowess.png"/>
                          <pic:cNvPicPr/>
                        </pic:nvPicPr>
                        <pic:blipFill>
                          <a:blip r:embed="rId9">
                            <a:extLst>
                              <a:ext uri="{28A0092B-C50C-407E-A947-70E740481C1C}">
                                <a14:useLocalDpi xmlns:a14="http://schemas.microsoft.com/office/drawing/2010/main" val="0"/>
                              </a:ext>
                            </a:extLst>
                          </a:blip>
                          <a:stretch>
                            <a:fillRect/>
                          </a:stretch>
                        </pic:blipFill>
                        <pic:spPr>
                          <a:xfrm>
                            <a:off x="0" y="0"/>
                            <a:ext cx="4090301" cy="2971586"/>
                          </a:xfrm>
                          <a:prstGeom prst="rect">
                            <a:avLst/>
                          </a:prstGeom>
                        </pic:spPr>
                      </pic:pic>
                    </a:graphicData>
                  </a:graphic>
                </wp:inline>
              </w:drawing>
            </w:r>
          </w:p>
        </w:tc>
        <w:tc>
          <w:tcPr>
            <w:tcW w:w="3089" w:type="dxa"/>
          </w:tcPr>
          <w:p w14:paraId="6C4F9C44" w14:textId="2066B9F0" w:rsidR="005C0B02" w:rsidRPr="0003110F" w:rsidRDefault="00ED5D68" w:rsidP="00ED5D68">
            <w:pPr>
              <w:rPr>
                <w:noProof/>
              </w:rPr>
            </w:pPr>
            <w:r>
              <w:rPr>
                <w:noProof/>
              </w:rPr>
              <w:drawing>
                <wp:inline distT="0" distB="0" distL="0" distR="0" wp14:anchorId="19A6DAA4" wp14:editId="74DE0806">
                  <wp:extent cx="1760855" cy="29768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0855" cy="2976880"/>
                          </a:xfrm>
                          <a:prstGeom prst="rect">
                            <a:avLst/>
                          </a:prstGeom>
                          <a:noFill/>
                          <a:ln>
                            <a:noFill/>
                          </a:ln>
                        </pic:spPr>
                      </pic:pic>
                    </a:graphicData>
                  </a:graphic>
                </wp:inline>
              </w:drawing>
            </w:r>
          </w:p>
        </w:tc>
      </w:tr>
    </w:tbl>
    <w:p w14:paraId="35D04D28" w14:textId="77777777" w:rsidR="002E06A5" w:rsidRDefault="002E06A5" w:rsidP="0090450B">
      <w:pPr>
        <w:spacing w:after="0" w:line="240" w:lineRule="auto"/>
        <w:jc w:val="both"/>
        <w:rPr>
          <w:rFonts w:ascii="Times New Roman" w:hAnsi="Times New Roman" w:cs="Times New Roman"/>
        </w:rPr>
      </w:pPr>
    </w:p>
    <w:p w14:paraId="094B2744" w14:textId="09A347C9" w:rsidR="00DB59C2" w:rsidRPr="004F2755" w:rsidRDefault="007724CB" w:rsidP="0090450B">
      <w:pPr>
        <w:spacing w:after="0" w:line="240" w:lineRule="auto"/>
        <w:jc w:val="both"/>
        <w:rPr>
          <w:rFonts w:ascii="Times New Roman" w:hAnsi="Times New Roman" w:cs="Times New Roman"/>
        </w:rPr>
      </w:pPr>
      <w:r>
        <w:rPr>
          <w:rFonts w:ascii="Times New Roman" w:hAnsi="Times New Roman" w:cs="Times New Roman"/>
        </w:rPr>
        <w:t>References</w:t>
      </w:r>
    </w:p>
    <w:p w14:paraId="394586AB" w14:textId="1250754C" w:rsidR="00991141" w:rsidRPr="004F2755" w:rsidRDefault="009714BC" w:rsidP="0090450B">
      <w:pPr>
        <w:spacing w:after="0" w:line="240" w:lineRule="auto"/>
        <w:jc w:val="both"/>
        <w:rPr>
          <w:rFonts w:ascii="Times New Roman" w:hAnsi="Times New Roman" w:cs="Times New Roman"/>
        </w:rPr>
      </w:pPr>
      <w:proofErr w:type="spellStart"/>
      <w:r>
        <w:rPr>
          <w:rFonts w:ascii="Times New Roman" w:hAnsi="Times New Roman" w:cs="Times New Roman"/>
        </w:rPr>
        <w:t>Fridlizius</w:t>
      </w:r>
      <w:proofErr w:type="spellEnd"/>
      <w:r>
        <w:rPr>
          <w:rFonts w:ascii="Times New Roman" w:hAnsi="Times New Roman" w:cs="Times New Roman"/>
        </w:rPr>
        <w:t>, G.</w:t>
      </w:r>
      <w:r w:rsidR="00991141" w:rsidRPr="004F2755">
        <w:rPr>
          <w:rFonts w:ascii="Times New Roman" w:hAnsi="Times New Roman" w:cs="Times New Roman"/>
        </w:rPr>
        <w:t xml:space="preserve">, (1957), “Swedish Corn Export in the Free Trade Era: Patterns in the Oats Trade 1850-1880”, CWK </w:t>
      </w:r>
      <w:proofErr w:type="spellStart"/>
      <w:r w:rsidR="00991141" w:rsidRPr="004F2755">
        <w:rPr>
          <w:rFonts w:ascii="Times New Roman" w:hAnsi="Times New Roman" w:cs="Times New Roman"/>
        </w:rPr>
        <w:t>Gleerup</w:t>
      </w:r>
      <w:proofErr w:type="spellEnd"/>
      <w:r w:rsidR="00991141" w:rsidRPr="004F2755">
        <w:rPr>
          <w:rFonts w:ascii="Times New Roman" w:hAnsi="Times New Roman" w:cs="Times New Roman"/>
        </w:rPr>
        <w:t xml:space="preserve">, Lund </w:t>
      </w:r>
    </w:p>
    <w:p w14:paraId="3B4C1DB2" w14:textId="77777777" w:rsidR="00A31932" w:rsidRPr="004F2755" w:rsidRDefault="00A31932" w:rsidP="0090450B">
      <w:pPr>
        <w:spacing w:after="0" w:line="240" w:lineRule="auto"/>
        <w:jc w:val="both"/>
        <w:rPr>
          <w:rFonts w:ascii="Times New Roman" w:hAnsi="Times New Roman" w:cs="Times New Roman"/>
        </w:rPr>
      </w:pPr>
      <w:r w:rsidRPr="004F2755">
        <w:rPr>
          <w:rFonts w:ascii="Times New Roman" w:hAnsi="Times New Roman" w:cs="Times New Roman"/>
        </w:rPr>
        <w:t>National Central Bureau of Statistics, (1969), “</w:t>
      </w:r>
      <w:r w:rsidR="009B5C0A" w:rsidRPr="004F2755">
        <w:rPr>
          <w:rFonts w:ascii="Times New Roman" w:hAnsi="Times New Roman" w:cs="Times New Roman"/>
        </w:rPr>
        <w:t xml:space="preserve">Historical Statistics of Sweden </w:t>
      </w:r>
      <w:r w:rsidRPr="004F2755">
        <w:rPr>
          <w:rFonts w:ascii="Times New Roman" w:hAnsi="Times New Roman" w:cs="Times New Roman"/>
        </w:rPr>
        <w:t xml:space="preserve">Part 1. Population. 1720-1967” KL </w:t>
      </w:r>
      <w:proofErr w:type="spellStart"/>
      <w:r w:rsidRPr="004F2755">
        <w:rPr>
          <w:rFonts w:ascii="Times New Roman" w:hAnsi="Times New Roman" w:cs="Times New Roman"/>
        </w:rPr>
        <w:t>Beckmans</w:t>
      </w:r>
      <w:proofErr w:type="spellEnd"/>
      <w:r w:rsidRPr="004F2755">
        <w:rPr>
          <w:rFonts w:ascii="Times New Roman" w:hAnsi="Times New Roman" w:cs="Times New Roman"/>
        </w:rPr>
        <w:t xml:space="preserve"> </w:t>
      </w:r>
      <w:proofErr w:type="spellStart"/>
      <w:r w:rsidRPr="004F2755">
        <w:rPr>
          <w:rFonts w:ascii="Times New Roman" w:hAnsi="Times New Roman" w:cs="Times New Roman"/>
        </w:rPr>
        <w:t>Tryckerier</w:t>
      </w:r>
      <w:proofErr w:type="spellEnd"/>
      <w:r w:rsidRPr="004F2755">
        <w:rPr>
          <w:rFonts w:ascii="Times New Roman" w:hAnsi="Times New Roman" w:cs="Times New Roman"/>
        </w:rPr>
        <w:t xml:space="preserve"> AB, Stockholm</w:t>
      </w:r>
    </w:p>
    <w:p w14:paraId="721C0BC1" w14:textId="33B09038" w:rsidR="00A31932" w:rsidRPr="004F2755" w:rsidRDefault="00A31932" w:rsidP="0090450B">
      <w:pPr>
        <w:spacing w:after="0" w:line="240" w:lineRule="auto"/>
        <w:jc w:val="both"/>
        <w:rPr>
          <w:rFonts w:ascii="Times New Roman" w:hAnsi="Times New Roman" w:cs="Times New Roman"/>
        </w:rPr>
      </w:pPr>
      <w:r w:rsidRPr="004F2755">
        <w:rPr>
          <w:rFonts w:ascii="Times New Roman" w:hAnsi="Times New Roman" w:cs="Times New Roman"/>
        </w:rPr>
        <w:t>Nunn</w:t>
      </w:r>
      <w:r w:rsidR="009B5C0A" w:rsidRPr="004F2755">
        <w:rPr>
          <w:rFonts w:ascii="Times New Roman" w:hAnsi="Times New Roman" w:cs="Times New Roman"/>
        </w:rPr>
        <w:t>, N</w:t>
      </w:r>
      <w:r w:rsidR="009714BC">
        <w:rPr>
          <w:rFonts w:ascii="Times New Roman" w:hAnsi="Times New Roman" w:cs="Times New Roman"/>
        </w:rPr>
        <w:t>.</w:t>
      </w:r>
      <w:r w:rsidRPr="004F2755">
        <w:rPr>
          <w:rFonts w:ascii="Times New Roman" w:hAnsi="Times New Roman" w:cs="Times New Roman"/>
        </w:rPr>
        <w:t xml:space="preserve"> and N</w:t>
      </w:r>
      <w:r w:rsidR="009714BC">
        <w:rPr>
          <w:rFonts w:ascii="Times New Roman" w:hAnsi="Times New Roman" w:cs="Times New Roman"/>
        </w:rPr>
        <w:t xml:space="preserve">. </w:t>
      </w:r>
      <w:proofErr w:type="spellStart"/>
      <w:r w:rsidRPr="004F2755">
        <w:rPr>
          <w:rFonts w:ascii="Times New Roman" w:hAnsi="Times New Roman" w:cs="Times New Roman"/>
        </w:rPr>
        <w:t>Qian</w:t>
      </w:r>
      <w:proofErr w:type="spellEnd"/>
      <w:r w:rsidRPr="004F2755">
        <w:rPr>
          <w:rFonts w:ascii="Times New Roman" w:hAnsi="Times New Roman" w:cs="Times New Roman"/>
        </w:rPr>
        <w:t xml:space="preserve">, </w:t>
      </w:r>
      <w:r w:rsidR="00287BA0">
        <w:rPr>
          <w:rFonts w:ascii="Times New Roman" w:hAnsi="Times New Roman" w:cs="Times New Roman"/>
        </w:rPr>
        <w:t xml:space="preserve">(2011), </w:t>
      </w:r>
      <w:r w:rsidR="00AB73D7" w:rsidRPr="004F2755">
        <w:rPr>
          <w:rFonts w:ascii="Times New Roman" w:hAnsi="Times New Roman" w:cs="Times New Roman"/>
          <w:color w:val="000000"/>
        </w:rPr>
        <w:t>"</w:t>
      </w:r>
      <w:r w:rsidR="00AB73D7" w:rsidRPr="004F2755">
        <w:rPr>
          <w:rFonts w:ascii="Times New Roman" w:hAnsi="Times New Roman" w:cs="Times New Roman"/>
        </w:rPr>
        <w:t>The Potato's Contribution to Population and Urbanization: Evidence from a Historical</w:t>
      </w:r>
      <w:r w:rsidR="00287BA0">
        <w:rPr>
          <w:rFonts w:ascii="Times New Roman" w:hAnsi="Times New Roman" w:cs="Times New Roman"/>
        </w:rPr>
        <w:t xml:space="preserve"> </w:t>
      </w:r>
      <w:r w:rsidR="00AB73D7" w:rsidRPr="004F2755">
        <w:rPr>
          <w:rFonts w:ascii="Times New Roman" w:hAnsi="Times New Roman" w:cs="Times New Roman"/>
        </w:rPr>
        <w:t>Experiment,"</w:t>
      </w:r>
      <w:r w:rsidR="00AB73D7" w:rsidRPr="004F2755">
        <w:rPr>
          <w:rFonts w:ascii="Times New Roman" w:hAnsi="Times New Roman" w:cs="Times New Roman"/>
          <w:i/>
          <w:iCs/>
        </w:rPr>
        <w:t xml:space="preserve"> </w:t>
      </w:r>
      <w:r w:rsidR="009714BC">
        <w:rPr>
          <w:rStyle w:val="Strong"/>
          <w:rFonts w:ascii="Times New Roman" w:hAnsi="Times New Roman" w:cs="Times New Roman"/>
          <w:b w:val="0"/>
          <w:iCs/>
        </w:rPr>
        <w:t>Quarterly Journal of Economics</w:t>
      </w:r>
      <w:r w:rsidR="00AB73D7" w:rsidRPr="004F2755">
        <w:rPr>
          <w:rStyle w:val="Emphasis"/>
          <w:rFonts w:ascii="Times New Roman" w:hAnsi="Times New Roman" w:cs="Times New Roman"/>
          <w:b/>
          <w:iCs w:val="0"/>
        </w:rPr>
        <w:t>,</w:t>
      </w:r>
      <w:r w:rsidR="00ED5D68">
        <w:rPr>
          <w:rStyle w:val="Emphasis"/>
          <w:rFonts w:ascii="Times New Roman" w:hAnsi="Times New Roman" w:cs="Times New Roman"/>
          <w:i w:val="0"/>
          <w:iCs w:val="0"/>
        </w:rPr>
        <w:t xml:space="preserve"> 126(2): </w:t>
      </w:r>
      <w:r w:rsidR="00287BA0" w:rsidRPr="00287BA0">
        <w:rPr>
          <w:rFonts w:ascii="Times New Roman" w:hAnsi="Times New Roman" w:cs="Times New Roman"/>
        </w:rPr>
        <w:t>593-650</w:t>
      </w:r>
    </w:p>
    <w:p w14:paraId="38FBE001" w14:textId="7C5FC608" w:rsidR="00A31932" w:rsidRPr="004F2755" w:rsidRDefault="00287BA0" w:rsidP="0090450B">
      <w:pPr>
        <w:spacing w:after="0" w:line="240" w:lineRule="auto"/>
        <w:jc w:val="both"/>
        <w:rPr>
          <w:rFonts w:ascii="Times New Roman" w:hAnsi="Times New Roman" w:cs="Times New Roman"/>
        </w:rPr>
      </w:pPr>
      <w:proofErr w:type="spellStart"/>
      <w:r w:rsidRPr="004F2755">
        <w:rPr>
          <w:rFonts w:ascii="Times New Roman" w:hAnsi="Times New Roman" w:cs="Times New Roman"/>
        </w:rPr>
        <w:t>Sk</w:t>
      </w:r>
      <w:r>
        <w:rPr>
          <w:rFonts w:ascii="Times New Roman" w:hAnsi="Times New Roman" w:cs="Times New Roman"/>
        </w:rPr>
        <w:t>ö</w:t>
      </w:r>
      <w:r w:rsidRPr="004F2755">
        <w:rPr>
          <w:rFonts w:ascii="Times New Roman" w:hAnsi="Times New Roman" w:cs="Times New Roman"/>
        </w:rPr>
        <w:t>ld</w:t>
      </w:r>
      <w:proofErr w:type="spellEnd"/>
      <w:r w:rsidR="009714BC">
        <w:rPr>
          <w:rFonts w:ascii="Times New Roman" w:hAnsi="Times New Roman" w:cs="Times New Roman"/>
        </w:rPr>
        <w:t>, P.,</w:t>
      </w:r>
      <w:r w:rsidR="00A31932" w:rsidRPr="004F2755">
        <w:rPr>
          <w:rFonts w:ascii="Times New Roman" w:hAnsi="Times New Roman" w:cs="Times New Roman"/>
        </w:rPr>
        <w:t xml:space="preserve"> (1996)</w:t>
      </w:r>
      <w:r w:rsidR="009714BC">
        <w:rPr>
          <w:rFonts w:ascii="Times New Roman" w:hAnsi="Times New Roman" w:cs="Times New Roman"/>
        </w:rPr>
        <w:t>,</w:t>
      </w:r>
      <w:r w:rsidR="00A31932" w:rsidRPr="004F2755">
        <w:rPr>
          <w:rFonts w:ascii="Times New Roman" w:hAnsi="Times New Roman" w:cs="Times New Roman"/>
        </w:rPr>
        <w:t xml:space="preserve"> “From Inoculation to Vaccination: Smallpox in Sweden in the Eighteenth and Nineteenth Centuries</w:t>
      </w:r>
      <w:r w:rsidR="00C47450">
        <w:rPr>
          <w:rFonts w:ascii="Times New Roman" w:hAnsi="Times New Roman" w:cs="Times New Roman"/>
        </w:rPr>
        <w:t>,</w:t>
      </w:r>
      <w:r w:rsidR="00A31932" w:rsidRPr="004F2755">
        <w:rPr>
          <w:rFonts w:ascii="Times New Roman" w:hAnsi="Times New Roman" w:cs="Times New Roman"/>
        </w:rPr>
        <w:t xml:space="preserve">” Population Studies, </w:t>
      </w:r>
      <w:r w:rsidR="009714BC">
        <w:rPr>
          <w:rFonts w:ascii="Times New Roman" w:hAnsi="Times New Roman" w:cs="Times New Roman"/>
        </w:rPr>
        <w:t>50(</w:t>
      </w:r>
      <w:r w:rsidR="00A31932" w:rsidRPr="004F2755">
        <w:rPr>
          <w:rFonts w:ascii="Times New Roman" w:hAnsi="Times New Roman" w:cs="Times New Roman"/>
        </w:rPr>
        <w:t>2</w:t>
      </w:r>
      <w:r w:rsidR="009714BC">
        <w:rPr>
          <w:rFonts w:ascii="Times New Roman" w:hAnsi="Times New Roman" w:cs="Times New Roman"/>
        </w:rPr>
        <w:t>):</w:t>
      </w:r>
      <w:r w:rsidR="00A31932" w:rsidRPr="004F2755">
        <w:rPr>
          <w:rFonts w:ascii="Times New Roman" w:hAnsi="Times New Roman" w:cs="Times New Roman"/>
        </w:rPr>
        <w:t xml:space="preserve"> 247-262</w:t>
      </w:r>
    </w:p>
    <w:p w14:paraId="31CD47A1" w14:textId="41443A25" w:rsidR="00A31932" w:rsidRPr="004F2755" w:rsidRDefault="009714BC" w:rsidP="0090450B">
      <w:pPr>
        <w:spacing w:after="0" w:line="240" w:lineRule="auto"/>
        <w:jc w:val="both"/>
        <w:outlineLvl w:val="0"/>
        <w:rPr>
          <w:rFonts w:ascii="Times New Roman" w:eastAsia="Times New Roman" w:hAnsi="Times New Roman" w:cs="Times New Roman"/>
          <w:bCs/>
          <w:kern w:val="36"/>
        </w:rPr>
      </w:pPr>
      <w:proofErr w:type="spellStart"/>
      <w:r>
        <w:rPr>
          <w:rFonts w:ascii="Times New Roman" w:eastAsia="Times New Roman" w:hAnsi="Times New Roman" w:cs="Times New Roman"/>
          <w:bCs/>
          <w:kern w:val="36"/>
        </w:rPr>
        <w:t>Jörberg</w:t>
      </w:r>
      <w:proofErr w:type="spellEnd"/>
      <w:r>
        <w:rPr>
          <w:rFonts w:ascii="Times New Roman" w:eastAsia="Times New Roman" w:hAnsi="Times New Roman" w:cs="Times New Roman"/>
          <w:bCs/>
          <w:kern w:val="36"/>
        </w:rPr>
        <w:t xml:space="preserve">, L., (1972), </w:t>
      </w:r>
      <w:r w:rsidR="00A31932" w:rsidRPr="004F2755">
        <w:rPr>
          <w:rFonts w:ascii="Times New Roman" w:eastAsia="Times New Roman" w:hAnsi="Times New Roman" w:cs="Times New Roman"/>
          <w:bCs/>
          <w:kern w:val="36"/>
        </w:rPr>
        <w:t>“A History of Prices in Sweden” Vol</w:t>
      </w:r>
      <w:r>
        <w:rPr>
          <w:rFonts w:ascii="Times New Roman" w:eastAsia="Times New Roman" w:hAnsi="Times New Roman" w:cs="Times New Roman"/>
          <w:bCs/>
          <w:kern w:val="36"/>
        </w:rPr>
        <w:t>.</w:t>
      </w:r>
      <w:r w:rsidR="00A31932" w:rsidRPr="004F2755">
        <w:rPr>
          <w:rFonts w:ascii="Times New Roman" w:eastAsia="Times New Roman" w:hAnsi="Times New Roman" w:cs="Times New Roman"/>
          <w:bCs/>
          <w:kern w:val="36"/>
        </w:rPr>
        <w:t xml:space="preserve"> 1-3, </w:t>
      </w:r>
      <w:r w:rsidR="00A31932" w:rsidRPr="004F2755">
        <w:rPr>
          <w:rStyle w:val="st"/>
          <w:rFonts w:ascii="Times New Roman" w:hAnsi="Times New Roman" w:cs="Times New Roman"/>
        </w:rPr>
        <w:t xml:space="preserve">Lund, </w:t>
      </w:r>
      <w:r w:rsidR="00A31932" w:rsidRPr="004F2755">
        <w:rPr>
          <w:rStyle w:val="Emphasis"/>
          <w:rFonts w:ascii="Times New Roman" w:hAnsi="Times New Roman" w:cs="Times New Roman"/>
          <w:i w:val="0"/>
        </w:rPr>
        <w:t>Sweden</w:t>
      </w:r>
      <w:r w:rsidR="00A31932" w:rsidRPr="004F2755">
        <w:rPr>
          <w:rStyle w:val="st"/>
          <w:rFonts w:ascii="Times New Roman" w:hAnsi="Times New Roman" w:cs="Times New Roman"/>
        </w:rPr>
        <w:t xml:space="preserve">, CWK </w:t>
      </w:r>
      <w:proofErr w:type="spellStart"/>
      <w:r w:rsidR="00A31932" w:rsidRPr="004F2755">
        <w:rPr>
          <w:rStyle w:val="st"/>
          <w:rFonts w:ascii="Times New Roman" w:hAnsi="Times New Roman" w:cs="Times New Roman"/>
        </w:rPr>
        <w:t>Gleerup</w:t>
      </w:r>
      <w:proofErr w:type="spellEnd"/>
    </w:p>
    <w:p w14:paraId="2B41A6FC" w14:textId="013D27B5" w:rsidR="00A31932" w:rsidRPr="004F2755" w:rsidRDefault="009714BC" w:rsidP="0090450B">
      <w:pPr>
        <w:spacing w:after="0" w:line="240" w:lineRule="auto"/>
        <w:jc w:val="both"/>
        <w:rPr>
          <w:rFonts w:ascii="Times New Roman" w:hAnsi="Times New Roman" w:cs="Times New Roman"/>
        </w:rPr>
      </w:pPr>
      <w:r>
        <w:rPr>
          <w:rFonts w:ascii="Times New Roman" w:hAnsi="Times New Roman" w:cs="Times New Roman"/>
        </w:rPr>
        <w:t>Schultz, T. P.,</w:t>
      </w:r>
      <w:r w:rsidR="00A31932" w:rsidRPr="004F2755">
        <w:rPr>
          <w:rFonts w:ascii="Times New Roman" w:hAnsi="Times New Roman" w:cs="Times New Roman"/>
        </w:rPr>
        <w:t xml:space="preserve"> </w:t>
      </w:r>
      <w:r>
        <w:rPr>
          <w:rFonts w:ascii="Times New Roman" w:hAnsi="Times New Roman" w:cs="Times New Roman"/>
        </w:rPr>
        <w:t xml:space="preserve">(1985), </w:t>
      </w:r>
      <w:r w:rsidR="00A31932" w:rsidRPr="004F2755">
        <w:rPr>
          <w:rFonts w:ascii="Times New Roman" w:hAnsi="Times New Roman" w:cs="Times New Roman"/>
        </w:rPr>
        <w:t>“Changing World Princes, Women’s Wages and the Fertility Transition: Sweden 1860-1910</w:t>
      </w:r>
      <w:r w:rsidR="00C47450">
        <w:rPr>
          <w:rFonts w:ascii="Times New Roman" w:hAnsi="Times New Roman" w:cs="Times New Roman"/>
        </w:rPr>
        <w:t>,</w:t>
      </w:r>
      <w:proofErr w:type="gramStart"/>
      <w:r w:rsidR="00A31932" w:rsidRPr="004F2755">
        <w:rPr>
          <w:rFonts w:ascii="Times New Roman" w:hAnsi="Times New Roman" w:cs="Times New Roman"/>
        </w:rPr>
        <w:t>”</w:t>
      </w:r>
      <w:r w:rsidR="009B5C0A" w:rsidRPr="004F2755">
        <w:rPr>
          <w:rFonts w:ascii="Times New Roman" w:hAnsi="Times New Roman" w:cs="Times New Roman"/>
        </w:rPr>
        <w:t>,</w:t>
      </w:r>
      <w:proofErr w:type="gramEnd"/>
      <w:r w:rsidR="00A31932" w:rsidRPr="004F2755">
        <w:rPr>
          <w:rFonts w:ascii="Times New Roman" w:hAnsi="Times New Roman" w:cs="Times New Roman"/>
        </w:rPr>
        <w:t xml:space="preserve"> </w:t>
      </w:r>
      <w:r>
        <w:rPr>
          <w:rFonts w:ascii="Times New Roman" w:hAnsi="Times New Roman" w:cs="Times New Roman"/>
        </w:rPr>
        <w:t xml:space="preserve">Journal of Political Economy, </w:t>
      </w:r>
      <w:r w:rsidR="00A31932" w:rsidRPr="004F2755">
        <w:rPr>
          <w:rFonts w:ascii="Times New Roman" w:hAnsi="Times New Roman" w:cs="Times New Roman"/>
        </w:rPr>
        <w:t>93</w:t>
      </w:r>
      <w:r>
        <w:rPr>
          <w:rFonts w:ascii="Times New Roman" w:hAnsi="Times New Roman" w:cs="Times New Roman"/>
        </w:rPr>
        <w:t xml:space="preserve">(6): </w:t>
      </w:r>
      <w:r w:rsidR="00287BA0" w:rsidRPr="00287BA0">
        <w:rPr>
          <w:rFonts w:ascii="Times New Roman" w:hAnsi="Times New Roman" w:cs="Times New Roman"/>
        </w:rPr>
        <w:t>1126-</w:t>
      </w:r>
      <w:r w:rsidR="00287BA0">
        <w:rPr>
          <w:rFonts w:ascii="Times New Roman" w:hAnsi="Times New Roman" w:cs="Times New Roman"/>
        </w:rPr>
        <w:t>11</w:t>
      </w:r>
      <w:r w:rsidR="00287BA0" w:rsidRPr="00287BA0">
        <w:rPr>
          <w:rFonts w:ascii="Times New Roman" w:hAnsi="Times New Roman" w:cs="Times New Roman"/>
        </w:rPr>
        <w:t>54</w:t>
      </w:r>
    </w:p>
    <w:p w14:paraId="10AFCD91" w14:textId="0CDE6644" w:rsidR="00A31932" w:rsidRPr="004F2755" w:rsidRDefault="009714BC" w:rsidP="0090450B">
      <w:pPr>
        <w:spacing w:after="0" w:line="240" w:lineRule="auto"/>
        <w:jc w:val="both"/>
        <w:rPr>
          <w:rFonts w:ascii="Times New Roman" w:hAnsi="Times New Roman" w:cs="Times New Roman"/>
        </w:rPr>
      </w:pPr>
      <w:proofErr w:type="spellStart"/>
      <w:r>
        <w:rPr>
          <w:rFonts w:ascii="Times New Roman" w:hAnsi="Times New Roman" w:cs="Times New Roman"/>
        </w:rPr>
        <w:t>Heckscher</w:t>
      </w:r>
      <w:proofErr w:type="spellEnd"/>
      <w:r>
        <w:rPr>
          <w:rFonts w:ascii="Times New Roman" w:hAnsi="Times New Roman" w:cs="Times New Roman"/>
        </w:rPr>
        <w:t>, E., (1954),</w:t>
      </w:r>
      <w:r w:rsidR="00A31932" w:rsidRPr="004F2755">
        <w:rPr>
          <w:rFonts w:ascii="Times New Roman" w:hAnsi="Times New Roman" w:cs="Times New Roman"/>
        </w:rPr>
        <w:t xml:space="preserve"> “An Economic History of Sweden” Harvard </w:t>
      </w:r>
      <w:proofErr w:type="spellStart"/>
      <w:r w:rsidR="00A31932" w:rsidRPr="004F2755">
        <w:rPr>
          <w:rFonts w:ascii="Times New Roman" w:hAnsi="Times New Roman" w:cs="Times New Roman"/>
        </w:rPr>
        <w:t>Univ</w:t>
      </w:r>
      <w:proofErr w:type="spellEnd"/>
      <w:r w:rsidR="00A31932" w:rsidRPr="004F2755">
        <w:rPr>
          <w:rFonts w:ascii="Times New Roman" w:hAnsi="Times New Roman" w:cs="Times New Roman"/>
        </w:rPr>
        <w:t xml:space="preserve"> Press, Cambridge, </w:t>
      </w:r>
      <w:r w:rsidR="009B5C0A" w:rsidRPr="004F2755">
        <w:rPr>
          <w:rFonts w:ascii="Times New Roman" w:hAnsi="Times New Roman" w:cs="Times New Roman"/>
        </w:rPr>
        <w:t>MA</w:t>
      </w:r>
    </w:p>
    <w:p w14:paraId="436DFA1C" w14:textId="254B1D94" w:rsidR="009B5C0A" w:rsidRPr="004F2755" w:rsidRDefault="00A31932" w:rsidP="0090450B">
      <w:pPr>
        <w:spacing w:after="0" w:line="240" w:lineRule="auto"/>
        <w:jc w:val="both"/>
        <w:rPr>
          <w:rFonts w:ascii="Times New Roman" w:hAnsi="Times New Roman" w:cs="Times New Roman"/>
        </w:rPr>
      </w:pPr>
      <w:proofErr w:type="gramStart"/>
      <w:r w:rsidRPr="004F2755">
        <w:rPr>
          <w:rFonts w:ascii="Times New Roman" w:hAnsi="Times New Roman" w:cs="Times New Roman"/>
        </w:rPr>
        <w:t xml:space="preserve">IIASA/FAO, </w:t>
      </w:r>
      <w:r w:rsidR="009714BC">
        <w:rPr>
          <w:rFonts w:ascii="Times New Roman" w:hAnsi="Times New Roman" w:cs="Times New Roman"/>
        </w:rPr>
        <w:t>(</w:t>
      </w:r>
      <w:r w:rsidRPr="004F2755">
        <w:rPr>
          <w:rFonts w:ascii="Times New Roman" w:hAnsi="Times New Roman" w:cs="Times New Roman"/>
        </w:rPr>
        <w:t>2012</w:t>
      </w:r>
      <w:r w:rsidR="009714BC">
        <w:rPr>
          <w:rFonts w:ascii="Times New Roman" w:hAnsi="Times New Roman" w:cs="Times New Roman"/>
        </w:rPr>
        <w:t>),</w:t>
      </w:r>
      <w:r w:rsidRPr="004F2755">
        <w:rPr>
          <w:rFonts w:ascii="Times New Roman" w:hAnsi="Times New Roman" w:cs="Times New Roman"/>
        </w:rPr>
        <w:t xml:space="preserve"> Global Agro</w:t>
      </w:r>
      <w:r w:rsidRPr="004F2755">
        <w:rPr>
          <w:rFonts w:ascii="Cambria Math" w:hAnsi="Cambria Math" w:cs="Cambria Math"/>
        </w:rPr>
        <w:t>‐</w:t>
      </w:r>
      <w:r w:rsidRPr="004F2755">
        <w:rPr>
          <w:rFonts w:ascii="Times New Roman" w:hAnsi="Times New Roman" w:cs="Times New Roman"/>
        </w:rPr>
        <w:t>ecological Zones (GAEZ v3.0).</w:t>
      </w:r>
      <w:proofErr w:type="gramEnd"/>
      <w:r w:rsidRPr="004F2755">
        <w:rPr>
          <w:rFonts w:ascii="Times New Roman" w:hAnsi="Times New Roman" w:cs="Times New Roman"/>
        </w:rPr>
        <w:t xml:space="preserve"> IIASA, Luxemburg, Austria and FAO, Rome, Italy</w:t>
      </w:r>
    </w:p>
    <w:p w14:paraId="72CEF005" w14:textId="3771FD6F" w:rsidR="004A32C6" w:rsidRPr="00ED5D68" w:rsidRDefault="004A32C6" w:rsidP="0090450B">
      <w:pPr>
        <w:spacing w:after="0" w:line="240" w:lineRule="auto"/>
        <w:jc w:val="both"/>
        <w:rPr>
          <w:rFonts w:ascii="Times New Roman" w:hAnsi="Times New Roman" w:cs="Times New Roman"/>
          <w:lang w:val="sv-SE"/>
        </w:rPr>
      </w:pPr>
      <w:r w:rsidRPr="00ED5D68">
        <w:rPr>
          <w:rFonts w:ascii="Times New Roman" w:hAnsi="Times New Roman" w:cs="Times New Roman"/>
          <w:lang w:val="sv-SE"/>
        </w:rPr>
        <w:t>Löfgren, O</w:t>
      </w:r>
      <w:r w:rsidR="009714BC">
        <w:rPr>
          <w:rFonts w:ascii="Times New Roman" w:hAnsi="Times New Roman" w:cs="Times New Roman"/>
          <w:lang w:val="sv-SE"/>
        </w:rPr>
        <w:t>.</w:t>
      </w:r>
      <w:r w:rsidRPr="00ED5D68">
        <w:rPr>
          <w:rFonts w:ascii="Times New Roman" w:hAnsi="Times New Roman" w:cs="Times New Roman"/>
          <w:lang w:val="sv-SE"/>
        </w:rPr>
        <w:t xml:space="preserve">, </w:t>
      </w:r>
      <w:r w:rsidR="009714BC">
        <w:rPr>
          <w:rFonts w:ascii="Times New Roman" w:hAnsi="Times New Roman" w:cs="Times New Roman"/>
          <w:lang w:val="sv-SE"/>
        </w:rPr>
        <w:t xml:space="preserve">(1982), </w:t>
      </w:r>
      <w:r w:rsidRPr="00ED5D68">
        <w:rPr>
          <w:rFonts w:ascii="Times New Roman" w:hAnsi="Times New Roman" w:cs="Times New Roman"/>
          <w:lang w:val="sv-SE"/>
        </w:rPr>
        <w:t>“Kvinnfolksgöra - om Arbetsdelning i Bondesamhället”, Kvinno</w:t>
      </w:r>
      <w:r w:rsidR="009714BC">
        <w:rPr>
          <w:rFonts w:ascii="Times New Roman" w:hAnsi="Times New Roman" w:cs="Times New Roman"/>
          <w:lang w:val="sv-SE"/>
        </w:rPr>
        <w:t xml:space="preserve">vetenskaplig Tidskrift, 3: </w:t>
      </w:r>
      <w:r w:rsidRPr="00ED5D68">
        <w:rPr>
          <w:rFonts w:ascii="Times New Roman" w:hAnsi="Times New Roman" w:cs="Times New Roman"/>
          <w:lang w:val="sv-SE"/>
        </w:rPr>
        <w:t>6-14</w:t>
      </w:r>
      <w:r w:rsidR="009714BC">
        <w:rPr>
          <w:rFonts w:ascii="Times New Roman" w:hAnsi="Times New Roman" w:cs="Times New Roman"/>
          <w:lang w:val="sv-SE"/>
        </w:rPr>
        <w:t>.</w:t>
      </w:r>
    </w:p>
    <w:p w14:paraId="5E6FD3E1" w14:textId="18607E1C" w:rsidR="003930D0" w:rsidRPr="004F2755" w:rsidRDefault="003930D0" w:rsidP="0090450B">
      <w:pPr>
        <w:spacing w:after="0" w:line="240" w:lineRule="auto"/>
        <w:jc w:val="both"/>
        <w:rPr>
          <w:rFonts w:ascii="Times New Roman" w:hAnsi="Times New Roman" w:cs="Times New Roman"/>
        </w:rPr>
      </w:pPr>
      <w:proofErr w:type="spellStart"/>
      <w:r w:rsidRPr="004F2755">
        <w:rPr>
          <w:rFonts w:ascii="Times New Roman" w:hAnsi="Times New Roman" w:cs="Times New Roman"/>
        </w:rPr>
        <w:t>St</w:t>
      </w:r>
      <w:r w:rsidR="009714BC">
        <w:rPr>
          <w:rFonts w:ascii="Times New Roman" w:hAnsi="Times New Roman" w:cs="Times New Roman"/>
        </w:rPr>
        <w:t>affansson</w:t>
      </w:r>
      <w:proofErr w:type="spellEnd"/>
      <w:r w:rsidR="009714BC">
        <w:rPr>
          <w:rFonts w:ascii="Times New Roman" w:hAnsi="Times New Roman" w:cs="Times New Roman"/>
        </w:rPr>
        <w:t>, J.</w:t>
      </w:r>
      <w:r w:rsidRPr="004F2755">
        <w:rPr>
          <w:rFonts w:ascii="Times New Roman" w:hAnsi="Times New Roman" w:cs="Times New Roman"/>
        </w:rPr>
        <w:t>-Å</w:t>
      </w:r>
      <w:r w:rsidR="009714BC">
        <w:rPr>
          <w:rFonts w:ascii="Times New Roman" w:hAnsi="Times New Roman" w:cs="Times New Roman"/>
        </w:rPr>
        <w:t>.,</w:t>
      </w:r>
      <w:r w:rsidRPr="004F2755">
        <w:rPr>
          <w:rFonts w:ascii="Times New Roman" w:hAnsi="Times New Roman" w:cs="Times New Roman"/>
        </w:rPr>
        <w:t xml:space="preserve"> (1995), “Swedish Butter. Production, Consumption, and Foreign Trade 1861-1913</w:t>
      </w:r>
      <w:r w:rsidR="00C47450">
        <w:rPr>
          <w:rFonts w:ascii="Times New Roman" w:hAnsi="Times New Roman" w:cs="Times New Roman"/>
        </w:rPr>
        <w:t>,</w:t>
      </w:r>
      <w:r w:rsidR="00E4260E" w:rsidRPr="004F2755">
        <w:rPr>
          <w:rFonts w:ascii="Times New Roman" w:hAnsi="Times New Roman" w:cs="Times New Roman"/>
        </w:rPr>
        <w:t>”</w:t>
      </w:r>
      <w:r w:rsidRPr="004F2755">
        <w:rPr>
          <w:rFonts w:ascii="Times New Roman" w:hAnsi="Times New Roman" w:cs="Times New Roman"/>
        </w:rPr>
        <w:t xml:space="preserve"> </w:t>
      </w:r>
      <w:r w:rsidR="00396E71" w:rsidRPr="004F2755">
        <w:rPr>
          <w:rFonts w:ascii="Times New Roman" w:hAnsi="Times New Roman" w:cs="Times New Roman"/>
        </w:rPr>
        <w:t>Lund University Press, Lund</w:t>
      </w:r>
    </w:p>
    <w:p w14:paraId="7DB8F0F7" w14:textId="0D4C813F" w:rsidR="00396E71" w:rsidRPr="00ED5D68" w:rsidRDefault="009714BC" w:rsidP="0090450B">
      <w:pPr>
        <w:spacing w:after="0" w:line="240" w:lineRule="auto"/>
        <w:jc w:val="both"/>
        <w:rPr>
          <w:rFonts w:ascii="Times New Roman" w:hAnsi="Times New Roman" w:cs="Times New Roman"/>
          <w:lang w:val="sv-SE"/>
        </w:rPr>
      </w:pPr>
      <w:r>
        <w:rPr>
          <w:rFonts w:ascii="Times New Roman" w:hAnsi="Times New Roman" w:cs="Times New Roman"/>
          <w:lang w:val="sv-SE"/>
        </w:rPr>
        <w:t>Söderlund, E.</w:t>
      </w:r>
      <w:r w:rsidR="00396E71" w:rsidRPr="00ED5D68">
        <w:rPr>
          <w:rFonts w:ascii="Times New Roman" w:hAnsi="Times New Roman" w:cs="Times New Roman"/>
          <w:lang w:val="sv-SE"/>
        </w:rPr>
        <w:t xml:space="preserve">, </w:t>
      </w:r>
      <w:r>
        <w:rPr>
          <w:rFonts w:ascii="Times New Roman" w:hAnsi="Times New Roman" w:cs="Times New Roman"/>
          <w:lang w:val="sv-SE"/>
        </w:rPr>
        <w:t xml:space="preserve">(1952), </w:t>
      </w:r>
      <w:r w:rsidR="00396E71" w:rsidRPr="00ED5D68">
        <w:rPr>
          <w:rFonts w:ascii="Times New Roman" w:hAnsi="Times New Roman" w:cs="Times New Roman"/>
          <w:lang w:val="sv-SE"/>
        </w:rPr>
        <w:t>“Swedish Timber Exports 185</w:t>
      </w:r>
      <w:r>
        <w:rPr>
          <w:rFonts w:ascii="Times New Roman" w:hAnsi="Times New Roman" w:cs="Times New Roman"/>
          <w:lang w:val="sv-SE"/>
        </w:rPr>
        <w:t>0-1950</w:t>
      </w:r>
      <w:r w:rsidR="00C47450">
        <w:rPr>
          <w:rFonts w:ascii="Times New Roman" w:hAnsi="Times New Roman" w:cs="Times New Roman"/>
          <w:lang w:val="sv-SE"/>
        </w:rPr>
        <w:t>,”</w:t>
      </w:r>
      <w:r>
        <w:rPr>
          <w:rFonts w:ascii="Times New Roman" w:hAnsi="Times New Roman" w:cs="Times New Roman"/>
          <w:lang w:val="sv-SE"/>
        </w:rPr>
        <w:t xml:space="preserve"> Almqvist och Wiksells</w:t>
      </w:r>
      <w:r w:rsidR="00DD7566" w:rsidRPr="00ED5D68">
        <w:rPr>
          <w:rFonts w:ascii="Times New Roman" w:hAnsi="Times New Roman" w:cs="Times New Roman"/>
          <w:lang w:val="sv-SE"/>
        </w:rPr>
        <w:t xml:space="preserve">, </w:t>
      </w:r>
      <w:r w:rsidR="00396E71" w:rsidRPr="00ED5D68">
        <w:rPr>
          <w:rFonts w:ascii="Times New Roman" w:hAnsi="Times New Roman" w:cs="Times New Roman"/>
          <w:lang w:val="sv-SE"/>
        </w:rPr>
        <w:t>Uppsala</w:t>
      </w:r>
    </w:p>
    <w:p w14:paraId="605387B7" w14:textId="318B6AC0" w:rsidR="00E06B1D" w:rsidRDefault="009714BC" w:rsidP="0090450B">
      <w:pPr>
        <w:spacing w:after="0" w:line="240" w:lineRule="auto"/>
        <w:jc w:val="both"/>
        <w:rPr>
          <w:rFonts w:ascii="Times New Roman" w:hAnsi="Times New Roman" w:cs="Times New Roman"/>
          <w:lang w:val="sv-SE"/>
        </w:rPr>
      </w:pPr>
      <w:r>
        <w:rPr>
          <w:rFonts w:ascii="Times New Roman" w:hAnsi="Times New Roman" w:cs="Times New Roman"/>
          <w:lang w:val="sv-SE"/>
        </w:rPr>
        <w:t xml:space="preserve">Sommestad, L., (1987), </w:t>
      </w:r>
      <w:r w:rsidRPr="00ED5D68">
        <w:rPr>
          <w:rFonts w:ascii="Times New Roman" w:hAnsi="Times New Roman" w:cs="Times New Roman"/>
          <w:lang w:val="sv-SE"/>
        </w:rPr>
        <w:t>“</w:t>
      </w:r>
      <w:r w:rsidR="00E06B1D" w:rsidRPr="00ED5D68">
        <w:rPr>
          <w:rFonts w:ascii="Times New Roman" w:hAnsi="Times New Roman" w:cs="Times New Roman"/>
          <w:lang w:val="sv-SE"/>
        </w:rPr>
        <w:t>Från mejerska till mej</w:t>
      </w:r>
      <w:r>
        <w:rPr>
          <w:rFonts w:ascii="Times New Roman" w:hAnsi="Times New Roman" w:cs="Times New Roman"/>
          <w:lang w:val="sv-SE"/>
        </w:rPr>
        <w:t>erist</w:t>
      </w:r>
      <w:r w:rsidR="00C47450">
        <w:rPr>
          <w:rFonts w:ascii="Times New Roman" w:hAnsi="Times New Roman" w:cs="Times New Roman"/>
          <w:lang w:val="sv-SE"/>
        </w:rPr>
        <w:t>,</w:t>
      </w:r>
      <w:r>
        <w:rPr>
          <w:rFonts w:ascii="Times New Roman" w:hAnsi="Times New Roman" w:cs="Times New Roman"/>
          <w:lang w:val="sv-SE"/>
        </w:rPr>
        <w:t>”</w:t>
      </w:r>
      <w:r w:rsidR="00E6247F">
        <w:rPr>
          <w:rFonts w:ascii="Times New Roman" w:hAnsi="Times New Roman" w:cs="Times New Roman"/>
          <w:lang w:val="sv-SE"/>
        </w:rPr>
        <w:t xml:space="preserve"> </w:t>
      </w:r>
      <w:r w:rsidR="00E06B1D" w:rsidRPr="00ED5D68">
        <w:rPr>
          <w:rFonts w:ascii="Times New Roman" w:hAnsi="Times New Roman" w:cs="Times New Roman"/>
          <w:lang w:val="sv-SE"/>
        </w:rPr>
        <w:t xml:space="preserve">Historisk tidskrift, </w:t>
      </w:r>
      <w:r>
        <w:rPr>
          <w:rFonts w:ascii="Times New Roman" w:hAnsi="Times New Roman" w:cs="Times New Roman"/>
          <w:lang w:val="sv-SE"/>
        </w:rPr>
        <w:t xml:space="preserve">107: </w:t>
      </w:r>
      <w:r w:rsidR="00E06B1D" w:rsidRPr="00ED5D68">
        <w:rPr>
          <w:rFonts w:ascii="Times New Roman" w:hAnsi="Times New Roman" w:cs="Times New Roman"/>
          <w:lang w:val="sv-SE"/>
        </w:rPr>
        <w:t>80-95</w:t>
      </w:r>
    </w:p>
    <w:p w14:paraId="61084B47" w14:textId="0C3D4D47" w:rsidR="00BD1732" w:rsidRDefault="00BD1732" w:rsidP="0090450B">
      <w:pPr>
        <w:spacing w:after="0" w:line="240" w:lineRule="auto"/>
        <w:jc w:val="both"/>
        <w:rPr>
          <w:rFonts w:ascii="Times New Roman" w:hAnsi="Times New Roman" w:cs="Times New Roman"/>
          <w:lang w:val="sv-SE"/>
        </w:rPr>
      </w:pPr>
      <w:r>
        <w:rPr>
          <w:rFonts w:ascii="Times New Roman" w:hAnsi="Times New Roman" w:cs="Times New Roman"/>
          <w:lang w:val="sv-SE"/>
        </w:rPr>
        <w:t xml:space="preserve">Thomas, D., (1990), </w:t>
      </w:r>
      <w:r w:rsidRPr="00ED5D68">
        <w:rPr>
          <w:rFonts w:ascii="Times New Roman" w:hAnsi="Times New Roman" w:cs="Times New Roman"/>
          <w:lang w:val="sv-SE"/>
        </w:rPr>
        <w:t>“</w:t>
      </w:r>
      <w:r w:rsidRPr="00BD1732">
        <w:rPr>
          <w:rFonts w:ascii="Times New Roman" w:hAnsi="Times New Roman" w:cs="Times New Roman"/>
          <w:lang w:val="sv-SE"/>
        </w:rPr>
        <w:t>Intra-Household Resource Allocation: An Inferential Approach</w:t>
      </w:r>
      <w:r>
        <w:rPr>
          <w:rFonts w:ascii="Times New Roman" w:hAnsi="Times New Roman" w:cs="Times New Roman"/>
          <w:lang w:val="sv-SE"/>
        </w:rPr>
        <w:t xml:space="preserve">”, </w:t>
      </w:r>
      <w:r w:rsidRPr="00BD1732">
        <w:rPr>
          <w:rFonts w:ascii="Times New Roman" w:hAnsi="Times New Roman" w:cs="Times New Roman"/>
          <w:lang w:val="sv-SE"/>
        </w:rPr>
        <w:t>Journal of Human Resources, 25</w:t>
      </w:r>
      <w:r>
        <w:rPr>
          <w:rFonts w:ascii="Times New Roman" w:hAnsi="Times New Roman" w:cs="Times New Roman"/>
          <w:lang w:val="sv-SE"/>
        </w:rPr>
        <w:t xml:space="preserve"> (4):</w:t>
      </w:r>
      <w:r w:rsidRPr="00BD1732">
        <w:rPr>
          <w:rFonts w:ascii="Times New Roman" w:hAnsi="Times New Roman" w:cs="Times New Roman"/>
          <w:lang w:val="sv-SE"/>
        </w:rPr>
        <w:t xml:space="preserve"> 635-664</w:t>
      </w:r>
    </w:p>
    <w:p w14:paraId="35CA5703" w14:textId="530E186A" w:rsidR="00BD1732" w:rsidRDefault="00BD1732" w:rsidP="00BD1732">
      <w:pPr>
        <w:spacing w:after="0" w:line="240" w:lineRule="auto"/>
        <w:jc w:val="both"/>
        <w:rPr>
          <w:rFonts w:ascii="Times New Roman" w:hAnsi="Times New Roman" w:cs="Times New Roman"/>
          <w:lang w:val="sv-SE"/>
        </w:rPr>
      </w:pPr>
      <w:r>
        <w:rPr>
          <w:rFonts w:ascii="Times New Roman" w:hAnsi="Times New Roman" w:cs="Times New Roman"/>
          <w:lang w:val="sv-SE"/>
        </w:rPr>
        <w:t xml:space="preserve">Thomas, D., (1994), </w:t>
      </w:r>
      <w:r w:rsidRPr="00ED5D68">
        <w:rPr>
          <w:rFonts w:ascii="Times New Roman" w:hAnsi="Times New Roman" w:cs="Times New Roman"/>
          <w:lang w:val="sv-SE"/>
        </w:rPr>
        <w:t>“</w:t>
      </w:r>
      <w:r w:rsidRPr="00BD1732">
        <w:rPr>
          <w:rFonts w:ascii="Times New Roman" w:hAnsi="Times New Roman" w:cs="Times New Roman"/>
          <w:lang w:val="sv-SE"/>
        </w:rPr>
        <w:t xml:space="preserve"> Like Father, like Son; Like Mother, like Daughter: Parental Resources and Child Height</w:t>
      </w:r>
      <w:r>
        <w:rPr>
          <w:rFonts w:ascii="Times New Roman" w:hAnsi="Times New Roman" w:cs="Times New Roman"/>
          <w:lang w:val="sv-SE"/>
        </w:rPr>
        <w:t xml:space="preserve">”, </w:t>
      </w:r>
      <w:r w:rsidRPr="00BD1732">
        <w:rPr>
          <w:rFonts w:ascii="Times New Roman" w:hAnsi="Times New Roman" w:cs="Times New Roman"/>
          <w:lang w:val="sv-SE"/>
        </w:rPr>
        <w:t xml:space="preserve">Journal of Human Resources, </w:t>
      </w:r>
      <w:r>
        <w:rPr>
          <w:rFonts w:ascii="Times New Roman" w:hAnsi="Times New Roman" w:cs="Times New Roman"/>
          <w:lang w:val="sv-SE"/>
        </w:rPr>
        <w:t>29 (4):</w:t>
      </w:r>
      <w:r w:rsidRPr="00BD1732">
        <w:rPr>
          <w:rFonts w:ascii="Times New Roman" w:hAnsi="Times New Roman" w:cs="Times New Roman"/>
          <w:lang w:val="sv-SE"/>
        </w:rPr>
        <w:t xml:space="preserve"> </w:t>
      </w:r>
      <w:r>
        <w:rPr>
          <w:rFonts w:ascii="Times New Roman" w:hAnsi="Times New Roman" w:cs="Times New Roman"/>
          <w:lang w:val="sv-SE"/>
        </w:rPr>
        <w:t>950</w:t>
      </w:r>
      <w:r w:rsidRPr="00BD1732">
        <w:rPr>
          <w:rFonts w:ascii="Times New Roman" w:hAnsi="Times New Roman" w:cs="Times New Roman"/>
          <w:lang w:val="sv-SE"/>
        </w:rPr>
        <w:t>-</w:t>
      </w:r>
      <w:r>
        <w:rPr>
          <w:rFonts w:ascii="Times New Roman" w:hAnsi="Times New Roman" w:cs="Times New Roman"/>
          <w:lang w:val="sv-SE"/>
        </w:rPr>
        <w:t>988</w:t>
      </w:r>
    </w:p>
    <w:p w14:paraId="1F797AD0" w14:textId="0A88A2A2" w:rsidR="00476679" w:rsidRPr="004F2755" w:rsidRDefault="00A31932" w:rsidP="0090450B">
      <w:pPr>
        <w:pStyle w:val="NoSpacing"/>
        <w:jc w:val="both"/>
        <w:rPr>
          <w:rFonts w:ascii="Times New Roman" w:hAnsi="Times New Roman" w:cs="Times New Roman"/>
        </w:rPr>
      </w:pPr>
      <w:proofErr w:type="spellStart"/>
      <w:r w:rsidRPr="004F2755">
        <w:rPr>
          <w:rFonts w:ascii="Times New Roman" w:hAnsi="Times New Roman" w:cs="Times New Roman"/>
        </w:rPr>
        <w:t>Qian</w:t>
      </w:r>
      <w:proofErr w:type="spellEnd"/>
      <w:r w:rsidRPr="004F2755">
        <w:rPr>
          <w:rFonts w:ascii="Times New Roman" w:hAnsi="Times New Roman" w:cs="Times New Roman"/>
        </w:rPr>
        <w:t xml:space="preserve">, N </w:t>
      </w:r>
      <w:r w:rsidR="00526679">
        <w:rPr>
          <w:rFonts w:ascii="Times New Roman" w:hAnsi="Times New Roman" w:cs="Times New Roman"/>
        </w:rPr>
        <w:t>(2008)</w:t>
      </w:r>
      <w:proofErr w:type="gramStart"/>
      <w:r w:rsidR="00526679">
        <w:rPr>
          <w:rFonts w:ascii="Times New Roman" w:hAnsi="Times New Roman" w:cs="Times New Roman"/>
        </w:rPr>
        <w:t>,</w:t>
      </w:r>
      <w:r w:rsidRPr="004F2755">
        <w:rPr>
          <w:rFonts w:ascii="Times New Roman" w:hAnsi="Times New Roman" w:cs="Times New Roman"/>
        </w:rPr>
        <w:t>“</w:t>
      </w:r>
      <w:proofErr w:type="gramEnd"/>
      <w:r w:rsidR="00526679" w:rsidRPr="00526679">
        <w:rPr>
          <w:rFonts w:ascii="Times New Roman" w:hAnsi="Times New Roman" w:cs="Times New Roman"/>
        </w:rPr>
        <w:t>Missing Women and the Price of Tea in China: The Effect of Sex-Specific Earnings on Sex Imbalance</w:t>
      </w:r>
      <w:r w:rsidR="00C47450">
        <w:rPr>
          <w:rFonts w:ascii="Times New Roman" w:hAnsi="Times New Roman" w:cs="Times New Roman"/>
        </w:rPr>
        <w:t>,”</w:t>
      </w:r>
      <w:r w:rsidRPr="004F2755">
        <w:rPr>
          <w:rFonts w:ascii="Times New Roman" w:hAnsi="Times New Roman" w:cs="Times New Roman"/>
        </w:rPr>
        <w:t xml:space="preserve"> </w:t>
      </w:r>
      <w:r w:rsidR="009714BC">
        <w:rPr>
          <w:rStyle w:val="Strong"/>
          <w:rFonts w:ascii="Times New Roman" w:hAnsi="Times New Roman" w:cs="Times New Roman"/>
          <w:b w:val="0"/>
          <w:iCs/>
        </w:rPr>
        <w:t>Quarterly Journal of Economics</w:t>
      </w:r>
      <w:r w:rsidR="007650A2" w:rsidRPr="004F2755">
        <w:rPr>
          <w:rFonts w:ascii="Times New Roman" w:hAnsi="Times New Roman" w:cs="Times New Roman"/>
        </w:rPr>
        <w:t xml:space="preserve">, </w:t>
      </w:r>
      <w:r w:rsidR="00526679">
        <w:rPr>
          <w:rFonts w:ascii="Times New Roman" w:hAnsi="Times New Roman" w:cs="Times New Roman"/>
        </w:rPr>
        <w:t>12</w:t>
      </w:r>
      <w:r w:rsidR="009714BC">
        <w:rPr>
          <w:rFonts w:ascii="Times New Roman" w:hAnsi="Times New Roman" w:cs="Times New Roman"/>
        </w:rPr>
        <w:t>3 (</w:t>
      </w:r>
      <w:r w:rsidR="00526679">
        <w:rPr>
          <w:rFonts w:ascii="Times New Roman" w:hAnsi="Times New Roman" w:cs="Times New Roman"/>
        </w:rPr>
        <w:t>3</w:t>
      </w:r>
      <w:r w:rsidR="009714BC">
        <w:rPr>
          <w:rFonts w:ascii="Times New Roman" w:hAnsi="Times New Roman" w:cs="Times New Roman"/>
        </w:rPr>
        <w:t>):</w:t>
      </w:r>
      <w:r w:rsidR="00526679">
        <w:rPr>
          <w:rFonts w:ascii="Times New Roman" w:hAnsi="Times New Roman" w:cs="Times New Roman"/>
        </w:rPr>
        <w:t xml:space="preserve"> </w:t>
      </w:r>
      <w:r w:rsidR="00526679" w:rsidRPr="00526679">
        <w:rPr>
          <w:rFonts w:ascii="Times New Roman" w:hAnsi="Times New Roman" w:cs="Times New Roman"/>
        </w:rPr>
        <w:t>1251-1285</w:t>
      </w:r>
    </w:p>
    <w:p w14:paraId="04B09E94" w14:textId="0CB982BC" w:rsidR="00C47450" w:rsidRDefault="009714BC" w:rsidP="0090450B">
      <w:pPr>
        <w:spacing w:after="0" w:line="240" w:lineRule="auto"/>
        <w:jc w:val="both"/>
        <w:rPr>
          <w:rFonts w:ascii="Times New Roman" w:hAnsi="Times New Roman" w:cs="Times New Roman"/>
        </w:rPr>
      </w:pPr>
      <w:r>
        <w:rPr>
          <w:rFonts w:ascii="Times New Roman" w:hAnsi="Times New Roman" w:cs="Times New Roman"/>
        </w:rPr>
        <w:t>Miller, G.</w:t>
      </w:r>
      <w:r w:rsidR="00B01C39" w:rsidRPr="004F2755">
        <w:rPr>
          <w:rFonts w:ascii="Times New Roman" w:hAnsi="Times New Roman" w:cs="Times New Roman"/>
        </w:rPr>
        <w:t xml:space="preserve"> and P</w:t>
      </w:r>
      <w:r>
        <w:rPr>
          <w:rFonts w:ascii="Times New Roman" w:hAnsi="Times New Roman" w:cs="Times New Roman"/>
        </w:rPr>
        <w:t>.</w:t>
      </w:r>
      <w:r w:rsidR="00B01C39" w:rsidRPr="004F2755">
        <w:rPr>
          <w:rFonts w:ascii="Times New Roman" w:hAnsi="Times New Roman" w:cs="Times New Roman"/>
        </w:rPr>
        <w:t xml:space="preserve"> </w:t>
      </w:r>
      <w:proofErr w:type="spellStart"/>
      <w:r w:rsidR="00B01C39" w:rsidRPr="004F2755">
        <w:rPr>
          <w:rFonts w:ascii="Times New Roman" w:hAnsi="Times New Roman" w:cs="Times New Roman"/>
        </w:rPr>
        <w:t>Urdinola</w:t>
      </w:r>
      <w:proofErr w:type="spellEnd"/>
      <w:r>
        <w:rPr>
          <w:rFonts w:ascii="Times New Roman" w:hAnsi="Times New Roman" w:cs="Times New Roman"/>
        </w:rPr>
        <w:t>,</w:t>
      </w:r>
      <w:r w:rsidR="00B01C39" w:rsidRPr="004F2755">
        <w:rPr>
          <w:rFonts w:ascii="Times New Roman" w:hAnsi="Times New Roman" w:cs="Times New Roman"/>
        </w:rPr>
        <w:t xml:space="preserve"> </w:t>
      </w:r>
      <w:r>
        <w:rPr>
          <w:rFonts w:ascii="Times New Roman" w:hAnsi="Times New Roman" w:cs="Times New Roman"/>
        </w:rPr>
        <w:t xml:space="preserve">(2010), </w:t>
      </w:r>
      <w:r w:rsidR="00C47450">
        <w:rPr>
          <w:rFonts w:ascii="Times New Roman" w:hAnsi="Times New Roman" w:cs="Times New Roman"/>
        </w:rPr>
        <w:t>“</w:t>
      </w:r>
      <w:r w:rsidR="00C47450" w:rsidRPr="00C47450">
        <w:rPr>
          <w:rFonts w:ascii="Times New Roman" w:hAnsi="Times New Roman" w:cs="Times New Roman"/>
        </w:rPr>
        <w:t>Cyclicality, Mortality, and the Value of Time: The Case of Coffee Price Fluctuations and Child Survival in Colombia</w:t>
      </w:r>
      <w:r w:rsidR="00C47450">
        <w:rPr>
          <w:rFonts w:ascii="Times New Roman" w:hAnsi="Times New Roman" w:cs="Times New Roman"/>
        </w:rPr>
        <w:t xml:space="preserve">,” </w:t>
      </w:r>
      <w:r w:rsidR="00C47450">
        <w:rPr>
          <w:rFonts w:ascii="Times New Roman" w:eastAsia="Times New Roman" w:hAnsi="Times New Roman" w:cs="Times New Roman"/>
        </w:rPr>
        <w:t>Journal of Political Economy</w:t>
      </w:r>
      <w:r w:rsidR="00C47450" w:rsidRPr="004F2755">
        <w:rPr>
          <w:rFonts w:ascii="Times New Roman" w:eastAsia="Times New Roman" w:hAnsi="Times New Roman" w:cs="Times New Roman"/>
        </w:rPr>
        <w:t xml:space="preserve">, </w:t>
      </w:r>
      <w:r w:rsidR="00C47450">
        <w:rPr>
          <w:rFonts w:ascii="Times New Roman" w:eastAsia="Times New Roman" w:hAnsi="Times New Roman" w:cs="Times New Roman"/>
          <w:color w:val="000000"/>
        </w:rPr>
        <w:t>118(1): 113-155</w:t>
      </w:r>
    </w:p>
    <w:p w14:paraId="165F9400" w14:textId="1A4AD2A5" w:rsidR="00255EBA" w:rsidRPr="00741430" w:rsidRDefault="00974266" w:rsidP="0090450B">
      <w:pPr>
        <w:pStyle w:val="NoSpacing"/>
        <w:jc w:val="both"/>
        <w:rPr>
          <w:rFonts w:ascii="Times New Roman" w:hAnsi="Times New Roman" w:cs="Times New Roman"/>
        </w:rPr>
      </w:pPr>
      <w:r>
        <w:rPr>
          <w:rFonts w:ascii="Times New Roman" w:hAnsi="Times New Roman" w:cs="Times New Roman"/>
        </w:rPr>
        <w:t>Lundberg, S.</w:t>
      </w:r>
      <w:r w:rsidR="00255EBA">
        <w:rPr>
          <w:rFonts w:ascii="Times New Roman" w:hAnsi="Times New Roman" w:cs="Times New Roman"/>
        </w:rPr>
        <w:t xml:space="preserve"> and R</w:t>
      </w:r>
      <w:r>
        <w:rPr>
          <w:rFonts w:ascii="Times New Roman" w:hAnsi="Times New Roman" w:cs="Times New Roman"/>
        </w:rPr>
        <w:t>.</w:t>
      </w:r>
      <w:r w:rsidR="00255EBA">
        <w:rPr>
          <w:rFonts w:ascii="Times New Roman" w:hAnsi="Times New Roman" w:cs="Times New Roman"/>
        </w:rPr>
        <w:t xml:space="preserve"> </w:t>
      </w:r>
      <w:proofErr w:type="spellStart"/>
      <w:r w:rsidR="00255EBA">
        <w:rPr>
          <w:rFonts w:ascii="Times New Roman" w:hAnsi="Times New Roman" w:cs="Times New Roman"/>
        </w:rPr>
        <w:t>Pollak</w:t>
      </w:r>
      <w:proofErr w:type="spellEnd"/>
      <w:r w:rsidR="00255EBA">
        <w:rPr>
          <w:rFonts w:ascii="Times New Roman" w:hAnsi="Times New Roman" w:cs="Times New Roman"/>
        </w:rPr>
        <w:t xml:space="preserve"> </w:t>
      </w:r>
      <w:r w:rsidR="00526679">
        <w:rPr>
          <w:rFonts w:ascii="Times New Roman" w:hAnsi="Times New Roman" w:cs="Times New Roman"/>
        </w:rPr>
        <w:t xml:space="preserve">(1993) </w:t>
      </w:r>
      <w:r w:rsidR="00255EBA">
        <w:rPr>
          <w:rFonts w:ascii="Times New Roman" w:hAnsi="Times New Roman" w:cs="Times New Roman"/>
        </w:rPr>
        <w:t>“Separate Spheres Bargain</w:t>
      </w:r>
      <w:r>
        <w:rPr>
          <w:rFonts w:ascii="Times New Roman" w:hAnsi="Times New Roman" w:cs="Times New Roman"/>
        </w:rPr>
        <w:t>ing and the Marriage Market” Journal of Political Economy</w:t>
      </w:r>
      <w:r w:rsidR="00255EBA">
        <w:rPr>
          <w:rFonts w:ascii="Times New Roman" w:hAnsi="Times New Roman" w:cs="Times New Roman"/>
        </w:rPr>
        <w:t>, 101</w:t>
      </w:r>
      <w:r w:rsidR="009714BC">
        <w:rPr>
          <w:rFonts w:ascii="Times New Roman" w:hAnsi="Times New Roman" w:cs="Times New Roman"/>
        </w:rPr>
        <w:t xml:space="preserve"> (6):</w:t>
      </w:r>
      <w:r w:rsidR="00526679">
        <w:rPr>
          <w:rFonts w:ascii="Times New Roman" w:hAnsi="Times New Roman" w:cs="Times New Roman"/>
        </w:rPr>
        <w:t xml:space="preserve"> </w:t>
      </w:r>
      <w:r w:rsidR="00526679" w:rsidRPr="00526679">
        <w:rPr>
          <w:rFonts w:ascii="Times New Roman" w:hAnsi="Times New Roman" w:cs="Times New Roman"/>
        </w:rPr>
        <w:t>988-1010</w:t>
      </w:r>
    </w:p>
    <w:sectPr w:rsidR="00255EBA" w:rsidRPr="00741430" w:rsidSect="007D7144">
      <w:pgSz w:w="12240" w:h="15840"/>
      <w:pgMar w:top="1368" w:right="1440" w:bottom="135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94887" w14:textId="77777777" w:rsidR="00A4174B" w:rsidRDefault="00A4174B" w:rsidP="00A31932">
      <w:pPr>
        <w:spacing w:after="0" w:line="240" w:lineRule="auto"/>
      </w:pPr>
      <w:r>
        <w:separator/>
      </w:r>
    </w:p>
  </w:endnote>
  <w:endnote w:type="continuationSeparator" w:id="0">
    <w:p w14:paraId="5F500388" w14:textId="77777777" w:rsidR="00A4174B" w:rsidRDefault="00A4174B" w:rsidP="00A31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001061"/>
      <w:docPartObj>
        <w:docPartGallery w:val="Page Numbers (Bottom of Page)"/>
        <w:docPartUnique/>
      </w:docPartObj>
    </w:sdtPr>
    <w:sdtEndPr>
      <w:rPr>
        <w:rFonts w:ascii="Times New Roman" w:hAnsi="Times New Roman" w:cs="Times New Roman"/>
        <w:noProof/>
        <w:sz w:val="20"/>
        <w:szCs w:val="20"/>
      </w:rPr>
    </w:sdtEndPr>
    <w:sdtContent>
      <w:p w14:paraId="037F3B5E" w14:textId="77777777" w:rsidR="00E5018E" w:rsidRPr="009C7368" w:rsidRDefault="00E5018E" w:rsidP="00476679">
        <w:pPr>
          <w:pStyle w:val="Footer"/>
          <w:jc w:val="center"/>
          <w:rPr>
            <w:rFonts w:ascii="Times New Roman" w:hAnsi="Times New Roman" w:cs="Times New Roman"/>
            <w:sz w:val="20"/>
            <w:szCs w:val="20"/>
          </w:rPr>
        </w:pPr>
        <w:r w:rsidRPr="009C7368">
          <w:rPr>
            <w:rFonts w:ascii="Times New Roman" w:hAnsi="Times New Roman" w:cs="Times New Roman"/>
            <w:sz w:val="20"/>
            <w:szCs w:val="20"/>
          </w:rPr>
          <w:fldChar w:fldCharType="begin"/>
        </w:r>
        <w:r w:rsidRPr="009C7368">
          <w:rPr>
            <w:rFonts w:ascii="Times New Roman" w:hAnsi="Times New Roman" w:cs="Times New Roman"/>
            <w:sz w:val="20"/>
            <w:szCs w:val="20"/>
          </w:rPr>
          <w:instrText xml:space="preserve"> PAGE   \* MERGEFORMAT </w:instrText>
        </w:r>
        <w:r w:rsidRPr="009C7368">
          <w:rPr>
            <w:rFonts w:ascii="Times New Roman" w:hAnsi="Times New Roman" w:cs="Times New Roman"/>
            <w:sz w:val="20"/>
            <w:szCs w:val="20"/>
          </w:rPr>
          <w:fldChar w:fldCharType="separate"/>
        </w:r>
        <w:r w:rsidR="00E5400B">
          <w:rPr>
            <w:rFonts w:ascii="Times New Roman" w:hAnsi="Times New Roman" w:cs="Times New Roman"/>
            <w:noProof/>
            <w:sz w:val="20"/>
            <w:szCs w:val="20"/>
          </w:rPr>
          <w:t>2</w:t>
        </w:r>
        <w:r w:rsidRPr="009C7368">
          <w:rPr>
            <w:rFonts w:ascii="Times New Roman" w:hAnsi="Times New Roman" w:cs="Times New Roman"/>
            <w:noProof/>
            <w:sz w:val="20"/>
            <w:szCs w:val="20"/>
          </w:rPr>
          <w:fldChar w:fldCharType="end"/>
        </w:r>
      </w:p>
    </w:sdtContent>
  </w:sdt>
  <w:p w14:paraId="4315401E" w14:textId="77777777" w:rsidR="00E5018E" w:rsidRDefault="00E50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B34E6" w14:textId="77777777" w:rsidR="00A4174B" w:rsidRDefault="00A4174B" w:rsidP="00A31932">
      <w:pPr>
        <w:spacing w:after="0" w:line="240" w:lineRule="auto"/>
      </w:pPr>
      <w:r>
        <w:separator/>
      </w:r>
    </w:p>
  </w:footnote>
  <w:footnote w:type="continuationSeparator" w:id="0">
    <w:p w14:paraId="263224D0" w14:textId="77777777" w:rsidR="00A4174B" w:rsidRDefault="00A4174B" w:rsidP="00A31932">
      <w:pPr>
        <w:spacing w:after="0" w:line="240" w:lineRule="auto"/>
      </w:pPr>
      <w:r>
        <w:continuationSeparator/>
      </w:r>
    </w:p>
  </w:footnote>
  <w:footnote w:id="1">
    <w:p w14:paraId="1FD87690" w14:textId="61CCED7E" w:rsidR="00E5018E" w:rsidRPr="0090450B" w:rsidRDefault="00E5018E" w:rsidP="0090450B">
      <w:pPr>
        <w:pStyle w:val="FootnoteText"/>
        <w:jc w:val="both"/>
        <w:rPr>
          <w:rFonts w:ascii="Times New Roman" w:hAnsi="Times New Roman" w:cs="Times New Roman"/>
        </w:rPr>
      </w:pPr>
      <w:r w:rsidRPr="00284B51">
        <w:rPr>
          <w:rStyle w:val="FootnoteReference"/>
          <w:rFonts w:ascii="Times New Roman" w:hAnsi="Times New Roman" w:cs="Times New Roman"/>
          <w:sz w:val="4"/>
          <w:szCs w:val="4"/>
        </w:rPr>
        <w:sym w:font="Symbol" w:char="F02A"/>
      </w:r>
      <w:r>
        <w:rPr>
          <w:rFonts w:ascii="Times New Roman" w:hAnsi="Times New Roman" w:cs="Times New Roman"/>
        </w:rPr>
        <w:t xml:space="preserve">* </w:t>
      </w:r>
      <w:proofErr w:type="spellStart"/>
      <w:r>
        <w:rPr>
          <w:rFonts w:ascii="Times New Roman" w:hAnsi="Times New Roman" w:cs="Times New Roman"/>
        </w:rPr>
        <w:t>Madestam</w:t>
      </w:r>
      <w:proofErr w:type="spellEnd"/>
      <w:r>
        <w:rPr>
          <w:rFonts w:ascii="Times New Roman" w:hAnsi="Times New Roman" w:cs="Times New Roman"/>
        </w:rPr>
        <w:t xml:space="preserve">: </w:t>
      </w:r>
      <w:r w:rsidRPr="0090450B">
        <w:rPr>
          <w:rFonts w:ascii="Times New Roman" w:hAnsi="Times New Roman" w:cs="Times New Roman"/>
        </w:rPr>
        <w:t>Department of Ec</w:t>
      </w:r>
      <w:r>
        <w:rPr>
          <w:rFonts w:ascii="Times New Roman" w:hAnsi="Times New Roman" w:cs="Times New Roman"/>
        </w:rPr>
        <w:t xml:space="preserve">onomics, Stockholm University (email: </w:t>
      </w:r>
      <w:r w:rsidR="00C41C9D" w:rsidRPr="001B645B">
        <w:rPr>
          <w:rFonts w:ascii="Times New Roman" w:hAnsi="Times New Roman" w:cs="Times New Roman"/>
        </w:rPr>
        <w:t>andreas.madestam@ne.su.se</w:t>
      </w:r>
      <w:r w:rsidR="007F1982">
        <w:rPr>
          <w:rFonts w:ascii="Times New Roman" w:hAnsi="Times New Roman" w:cs="Times New Roman"/>
        </w:rPr>
        <w:t>);</w:t>
      </w:r>
      <w:r w:rsidR="00C41C9D">
        <w:rPr>
          <w:rFonts w:ascii="Times New Roman" w:hAnsi="Times New Roman" w:cs="Times New Roman"/>
        </w:rPr>
        <w:t xml:space="preserve"> </w:t>
      </w:r>
      <w:proofErr w:type="spellStart"/>
      <w:r w:rsidR="007F1982">
        <w:rPr>
          <w:rFonts w:ascii="Times New Roman" w:hAnsi="Times New Roman" w:cs="Times New Roman"/>
        </w:rPr>
        <w:t>Simeonova</w:t>
      </w:r>
      <w:proofErr w:type="spellEnd"/>
      <w:r w:rsidR="007F1982">
        <w:rPr>
          <w:rFonts w:ascii="Times New Roman" w:hAnsi="Times New Roman" w:cs="Times New Roman"/>
        </w:rPr>
        <w:t>: D</w:t>
      </w:r>
      <w:r w:rsidRPr="0090450B">
        <w:rPr>
          <w:rFonts w:ascii="Times New Roman" w:hAnsi="Times New Roman" w:cs="Times New Roman"/>
        </w:rPr>
        <w:t>epartment of Econom</w:t>
      </w:r>
      <w:r>
        <w:rPr>
          <w:rFonts w:ascii="Times New Roman" w:hAnsi="Times New Roman" w:cs="Times New Roman"/>
        </w:rPr>
        <w:t xml:space="preserve">ics, Tufts University, </w:t>
      </w:r>
      <w:r w:rsidR="00C41C9D">
        <w:rPr>
          <w:rFonts w:ascii="Times New Roman" w:hAnsi="Times New Roman" w:cs="Times New Roman"/>
        </w:rPr>
        <w:t xml:space="preserve">Princeton </w:t>
      </w:r>
      <w:r>
        <w:rPr>
          <w:rFonts w:ascii="Times New Roman" w:hAnsi="Times New Roman" w:cs="Times New Roman"/>
        </w:rPr>
        <w:t>and NBER (</w:t>
      </w:r>
      <w:r w:rsidRPr="0090450B">
        <w:rPr>
          <w:rFonts w:ascii="Times New Roman" w:hAnsi="Times New Roman" w:cs="Times New Roman"/>
        </w:rPr>
        <w:t>email: emilia.simeonova@gmail.com</w:t>
      </w:r>
      <w:r>
        <w:rPr>
          <w:rFonts w:ascii="Times New Roman" w:hAnsi="Times New Roman" w:cs="Times New Roman"/>
        </w:rPr>
        <w:t>).</w:t>
      </w:r>
    </w:p>
  </w:footnote>
  <w:footnote w:id="2">
    <w:p w14:paraId="2F83AB01" w14:textId="392CDAF3" w:rsidR="00E5018E" w:rsidRPr="00FB2803" w:rsidRDefault="00E5018E" w:rsidP="0090450B">
      <w:pPr>
        <w:pStyle w:val="FootnoteText"/>
        <w:jc w:val="both"/>
        <w:rPr>
          <w:rFonts w:ascii="Times New Roman" w:hAnsi="Times New Roman" w:cs="Times New Roman"/>
        </w:rPr>
      </w:pPr>
      <w:r w:rsidRPr="00FB2803">
        <w:rPr>
          <w:rStyle w:val="FootnoteReference"/>
          <w:rFonts w:ascii="Times New Roman" w:hAnsi="Times New Roman" w:cs="Times New Roman"/>
        </w:rPr>
        <w:footnoteRef/>
      </w:r>
      <w:r w:rsidRPr="00FB2803">
        <w:rPr>
          <w:rFonts w:ascii="Times New Roman" w:hAnsi="Times New Roman" w:cs="Times New Roman"/>
        </w:rPr>
        <w:t xml:space="preserve"> The oats’ shocks, in 1851-56 and in 1863-68, followed after the repeal of the Corn Laws in Great Britain in 1849, with Sweden accounting for 36 % of Britain’s total oats imports in the mid-1860s (</w:t>
      </w:r>
      <w:proofErr w:type="spellStart"/>
      <w:r w:rsidRPr="00FB2803">
        <w:rPr>
          <w:rFonts w:ascii="Times New Roman" w:hAnsi="Times New Roman" w:cs="Times New Roman"/>
        </w:rPr>
        <w:t>Fridlizius</w:t>
      </w:r>
      <w:proofErr w:type="spellEnd"/>
      <w:r w:rsidRPr="00FB2803">
        <w:rPr>
          <w:rFonts w:ascii="Times New Roman" w:hAnsi="Times New Roman" w:cs="Times New Roman"/>
        </w:rPr>
        <w:t>, 1957). The increase in demand for Swedish timber, in 1848-56 and in 1869-74, was a result of the lowering of British timber tariffs in 1842 and 1851 and of an international demand boom in the late 1860s (</w:t>
      </w:r>
      <w:proofErr w:type="spellStart"/>
      <w:r w:rsidRPr="00FB2803">
        <w:rPr>
          <w:rFonts w:ascii="Times New Roman" w:hAnsi="Times New Roman" w:cs="Times New Roman"/>
        </w:rPr>
        <w:t>Söderlund</w:t>
      </w:r>
      <w:proofErr w:type="spellEnd"/>
      <w:r w:rsidRPr="00FB2803">
        <w:rPr>
          <w:rFonts w:ascii="Times New Roman" w:hAnsi="Times New Roman" w:cs="Times New Roman"/>
        </w:rPr>
        <w:t>, 1952). Finally, Swedish butter exports to Great Britain took off in the latter half of the 1860s because of rising British incomes (</w:t>
      </w:r>
      <w:proofErr w:type="spellStart"/>
      <w:r w:rsidRPr="00FB2803">
        <w:rPr>
          <w:rFonts w:ascii="Times New Roman" w:hAnsi="Times New Roman" w:cs="Times New Roman"/>
        </w:rPr>
        <w:t>Staffanson</w:t>
      </w:r>
      <w:proofErr w:type="spellEnd"/>
      <w:r w:rsidRPr="00FB2803">
        <w:rPr>
          <w:rFonts w:ascii="Times New Roman" w:hAnsi="Times New Roman" w:cs="Times New Roman"/>
        </w:rPr>
        <w:t>, 1995).</w:t>
      </w:r>
    </w:p>
  </w:footnote>
  <w:footnote w:id="3">
    <w:p w14:paraId="2C7D8BD8" w14:textId="77777777" w:rsidR="00E5018E" w:rsidRPr="00FB2803" w:rsidRDefault="00E5018E" w:rsidP="00284B51">
      <w:pPr>
        <w:spacing w:after="0" w:line="240" w:lineRule="auto"/>
        <w:jc w:val="both"/>
        <w:rPr>
          <w:rFonts w:ascii="Times New Roman" w:hAnsi="Times New Roman" w:cs="Times New Roman"/>
          <w:sz w:val="20"/>
          <w:szCs w:val="20"/>
        </w:rPr>
      </w:pPr>
      <w:r w:rsidRPr="00FB2803">
        <w:rPr>
          <w:rStyle w:val="FootnoteReference"/>
          <w:rFonts w:ascii="Times New Roman" w:hAnsi="Times New Roman" w:cs="Times New Roman"/>
          <w:sz w:val="20"/>
          <w:szCs w:val="20"/>
        </w:rPr>
        <w:footnoteRef/>
      </w:r>
      <w:r w:rsidRPr="00FB2803">
        <w:rPr>
          <w:rFonts w:ascii="Times New Roman" w:hAnsi="Times New Roman" w:cs="Times New Roman"/>
          <w:sz w:val="20"/>
          <w:szCs w:val="20"/>
          <w:lang w:val="sv-SE"/>
        </w:rPr>
        <w:t xml:space="preserve"> </w:t>
      </w:r>
      <w:r w:rsidRPr="00FB2803">
        <w:rPr>
          <w:rFonts w:ascii="Times New Roman" w:hAnsi="Times New Roman" w:cs="Times New Roman"/>
          <w:sz w:val="20"/>
          <w:szCs w:val="20"/>
          <w:lang w:val="sv-SE"/>
        </w:rPr>
        <w:t xml:space="preserve">From the </w:t>
      </w:r>
      <w:r w:rsidRPr="00FB2803">
        <w:rPr>
          <w:rFonts w:ascii="Times New Roman" w:hAnsi="Times New Roman" w:cs="Times New Roman"/>
          <w:sz w:val="20"/>
          <w:szCs w:val="20"/>
          <w:lang w:val="sv-SE"/>
        </w:rPr>
        <w:t xml:space="preserve">Sundsvall region: the town of Sundsvall, Alnö, Attmar, Galtström, Hässjö, Indal, Lagfors bruk, Ljustorp, Lögdö, Njurunda, Sättna, Selånger, Skön/Skönsmon, Svartvik, Timrå, Tuna, Tynderö. </w:t>
      </w:r>
      <w:r w:rsidRPr="00FB2803">
        <w:rPr>
          <w:rFonts w:ascii="Times New Roman" w:hAnsi="Times New Roman" w:cs="Times New Roman"/>
          <w:sz w:val="20"/>
          <w:szCs w:val="20"/>
        </w:rPr>
        <w:t xml:space="preserve">From the </w:t>
      </w:r>
      <w:proofErr w:type="spellStart"/>
      <w:r w:rsidRPr="00FB2803">
        <w:rPr>
          <w:rFonts w:ascii="Times New Roman" w:hAnsi="Times New Roman" w:cs="Times New Roman"/>
          <w:sz w:val="20"/>
          <w:szCs w:val="20"/>
        </w:rPr>
        <w:t>Skellefteå</w:t>
      </w:r>
      <w:proofErr w:type="spellEnd"/>
      <w:r w:rsidRPr="00FB2803">
        <w:rPr>
          <w:rFonts w:ascii="Times New Roman" w:hAnsi="Times New Roman" w:cs="Times New Roman"/>
          <w:sz w:val="20"/>
          <w:szCs w:val="20"/>
        </w:rPr>
        <w:t xml:space="preserve"> region: the town of </w:t>
      </w:r>
      <w:proofErr w:type="spellStart"/>
      <w:r w:rsidRPr="00FB2803">
        <w:rPr>
          <w:rFonts w:ascii="Times New Roman" w:hAnsi="Times New Roman" w:cs="Times New Roman"/>
          <w:sz w:val="20"/>
          <w:szCs w:val="20"/>
        </w:rPr>
        <w:t>Skellefteå</w:t>
      </w:r>
      <w:proofErr w:type="spellEnd"/>
      <w:r w:rsidRPr="00FB2803">
        <w:rPr>
          <w:rFonts w:ascii="Times New Roman" w:hAnsi="Times New Roman" w:cs="Times New Roman"/>
          <w:sz w:val="20"/>
          <w:szCs w:val="20"/>
        </w:rPr>
        <w:t xml:space="preserve">, and the parishes of </w:t>
      </w:r>
      <w:proofErr w:type="spellStart"/>
      <w:r w:rsidRPr="00FB2803">
        <w:rPr>
          <w:rFonts w:ascii="Times New Roman" w:hAnsi="Times New Roman" w:cs="Times New Roman"/>
          <w:sz w:val="20"/>
          <w:szCs w:val="20"/>
        </w:rPr>
        <w:t>Jörn</w:t>
      </w:r>
      <w:proofErr w:type="spellEnd"/>
      <w:r w:rsidRPr="00FB2803">
        <w:rPr>
          <w:rFonts w:ascii="Times New Roman" w:hAnsi="Times New Roman" w:cs="Times New Roman"/>
          <w:sz w:val="20"/>
          <w:szCs w:val="20"/>
        </w:rPr>
        <w:t xml:space="preserve"> and </w:t>
      </w:r>
      <w:proofErr w:type="spellStart"/>
      <w:r w:rsidRPr="00FB2803">
        <w:rPr>
          <w:rFonts w:ascii="Times New Roman" w:hAnsi="Times New Roman" w:cs="Times New Roman"/>
          <w:sz w:val="20"/>
          <w:szCs w:val="20"/>
        </w:rPr>
        <w:t>Norsjö</w:t>
      </w:r>
      <w:proofErr w:type="spellEnd"/>
      <w:r w:rsidRPr="00FB2803">
        <w:rPr>
          <w:rFonts w:ascii="Times New Roman" w:hAnsi="Times New Roman" w:cs="Times New Roman"/>
          <w:sz w:val="20"/>
          <w:szCs w:val="20"/>
        </w:rPr>
        <w:t xml:space="preserve">. </w:t>
      </w:r>
      <w:r w:rsidRPr="00FB2803">
        <w:rPr>
          <w:rFonts w:ascii="Times New Roman" w:hAnsi="Times New Roman" w:cs="Times New Roman"/>
          <w:sz w:val="20"/>
          <w:szCs w:val="20"/>
          <w:lang w:val="sv-SE"/>
        </w:rPr>
        <w:t xml:space="preserve">The Linköping region is represented by: Björsäter, Grebo; Kaga, Kärna, Landeryd, Rappestad, Rystad, Slaka, Vikingstad, Vårdsberg, Värna, Sant Lars. </w:t>
      </w:r>
      <w:r w:rsidRPr="00FB2803">
        <w:rPr>
          <w:rFonts w:ascii="Times New Roman" w:hAnsi="Times New Roman" w:cs="Times New Roman"/>
          <w:sz w:val="20"/>
          <w:szCs w:val="20"/>
        </w:rPr>
        <w:t xml:space="preserve">The parishes of </w:t>
      </w:r>
      <w:proofErr w:type="spellStart"/>
      <w:r w:rsidRPr="00FB2803">
        <w:rPr>
          <w:rFonts w:ascii="Times New Roman" w:hAnsi="Times New Roman" w:cs="Times New Roman"/>
          <w:sz w:val="20"/>
          <w:szCs w:val="20"/>
        </w:rPr>
        <w:t>Fleninge</w:t>
      </w:r>
      <w:proofErr w:type="spellEnd"/>
      <w:r w:rsidRPr="00FB2803">
        <w:rPr>
          <w:rFonts w:ascii="Times New Roman" w:hAnsi="Times New Roman" w:cs="Times New Roman"/>
          <w:sz w:val="20"/>
          <w:szCs w:val="20"/>
        </w:rPr>
        <w:t xml:space="preserve">, </w:t>
      </w:r>
      <w:proofErr w:type="spellStart"/>
      <w:r w:rsidRPr="00FB2803">
        <w:rPr>
          <w:rFonts w:ascii="Times New Roman" w:hAnsi="Times New Roman" w:cs="Times New Roman"/>
          <w:sz w:val="20"/>
          <w:szCs w:val="20"/>
        </w:rPr>
        <w:t>Gullholmen</w:t>
      </w:r>
      <w:proofErr w:type="spellEnd"/>
      <w:r w:rsidRPr="00FB2803">
        <w:rPr>
          <w:rFonts w:ascii="Times New Roman" w:hAnsi="Times New Roman" w:cs="Times New Roman"/>
          <w:sz w:val="20"/>
          <w:szCs w:val="20"/>
        </w:rPr>
        <w:t xml:space="preserve">, </w:t>
      </w:r>
      <w:proofErr w:type="spellStart"/>
      <w:r w:rsidRPr="00FB2803">
        <w:rPr>
          <w:rFonts w:ascii="Times New Roman" w:hAnsi="Times New Roman" w:cs="Times New Roman"/>
          <w:sz w:val="20"/>
          <w:szCs w:val="20"/>
        </w:rPr>
        <w:t>Nedertorneå</w:t>
      </w:r>
      <w:proofErr w:type="spellEnd"/>
      <w:r w:rsidRPr="00FB2803">
        <w:rPr>
          <w:rFonts w:ascii="Times New Roman" w:hAnsi="Times New Roman" w:cs="Times New Roman"/>
          <w:sz w:val="20"/>
          <w:szCs w:val="20"/>
        </w:rPr>
        <w:t xml:space="preserve">, </w:t>
      </w:r>
      <w:proofErr w:type="spellStart"/>
      <w:r w:rsidRPr="00FB2803">
        <w:rPr>
          <w:rFonts w:ascii="Times New Roman" w:hAnsi="Times New Roman" w:cs="Times New Roman"/>
          <w:sz w:val="20"/>
          <w:szCs w:val="20"/>
        </w:rPr>
        <w:t>Svinnegarn</w:t>
      </w:r>
      <w:proofErr w:type="spellEnd"/>
      <w:r w:rsidRPr="00FB2803">
        <w:rPr>
          <w:rFonts w:ascii="Times New Roman" w:hAnsi="Times New Roman" w:cs="Times New Roman"/>
          <w:sz w:val="20"/>
          <w:szCs w:val="20"/>
        </w:rPr>
        <w:t xml:space="preserve">, and </w:t>
      </w:r>
      <w:proofErr w:type="spellStart"/>
      <w:r w:rsidRPr="00FB2803">
        <w:rPr>
          <w:rFonts w:ascii="Times New Roman" w:hAnsi="Times New Roman" w:cs="Times New Roman"/>
          <w:sz w:val="20"/>
          <w:szCs w:val="20"/>
        </w:rPr>
        <w:t>Trosa</w:t>
      </w:r>
      <w:proofErr w:type="spellEnd"/>
      <w:r w:rsidRPr="00FB2803">
        <w:rPr>
          <w:rFonts w:ascii="Times New Roman" w:hAnsi="Times New Roman" w:cs="Times New Roman"/>
          <w:sz w:val="20"/>
          <w:szCs w:val="20"/>
        </w:rPr>
        <w:t xml:space="preserve"> are also included for a total of 37 parishes.</w:t>
      </w:r>
    </w:p>
  </w:footnote>
  <w:footnote w:id="4">
    <w:p w14:paraId="6F214497" w14:textId="1B448501" w:rsidR="00E5018E" w:rsidRPr="00E4260E" w:rsidRDefault="00E5018E" w:rsidP="009C0ED4">
      <w:pPr>
        <w:pStyle w:val="FootnoteText"/>
        <w:jc w:val="both"/>
        <w:rPr>
          <w:rFonts w:ascii="Times New Roman" w:hAnsi="Times New Roman" w:cs="Times New Roman"/>
        </w:rPr>
      </w:pPr>
      <w:r w:rsidRPr="00E4260E">
        <w:rPr>
          <w:rStyle w:val="FootnoteReference"/>
          <w:rFonts w:ascii="Times New Roman" w:hAnsi="Times New Roman" w:cs="Times New Roman"/>
        </w:rPr>
        <w:footnoteRef/>
      </w:r>
      <w:r w:rsidRPr="00E4260E">
        <w:rPr>
          <w:rFonts w:ascii="Times New Roman" w:hAnsi="Times New Roman" w:cs="Times New Roman"/>
        </w:rPr>
        <w:t xml:space="preserve"> We tested for differential mobility between regions and found no evidence that such selective migration took place</w:t>
      </w:r>
    </w:p>
  </w:footnote>
  <w:footnote w:id="5">
    <w:p w14:paraId="724903C5" w14:textId="4D60AC8C" w:rsidR="00E5018E" w:rsidRPr="00ED5D68" w:rsidRDefault="00E5018E" w:rsidP="0090450B">
      <w:pPr>
        <w:pStyle w:val="FootnoteText"/>
        <w:jc w:val="both"/>
        <w:rPr>
          <w:rFonts w:ascii="Times New Roman" w:hAnsi="Times New Roman" w:cs="Times New Roman"/>
        </w:rPr>
      </w:pPr>
      <w:r w:rsidRPr="009C7368">
        <w:rPr>
          <w:rStyle w:val="FootnoteReference"/>
          <w:rFonts w:ascii="Times New Roman" w:hAnsi="Times New Roman" w:cs="Times New Roman"/>
        </w:rPr>
        <w:footnoteRef/>
      </w:r>
      <w:r w:rsidRPr="009C7368">
        <w:rPr>
          <w:rFonts w:ascii="Times New Roman" w:hAnsi="Times New Roman" w:cs="Times New Roman"/>
        </w:rPr>
        <w:t xml:space="preserve"> </w:t>
      </w:r>
      <w:r w:rsidRPr="005104A1">
        <w:rPr>
          <w:rFonts w:ascii="Times New Roman" w:hAnsi="Times New Roman" w:cs="Times New Roman"/>
        </w:rPr>
        <w:t>The GAEZ predictions are available for each 5 arc-minute grid cell</w:t>
      </w:r>
      <w:r>
        <w:rPr>
          <w:rFonts w:ascii="Times New Roman" w:hAnsi="Times New Roman" w:cs="Times New Roman"/>
        </w:rPr>
        <w:t xml:space="preserve">. </w:t>
      </w:r>
      <w:r w:rsidRPr="0064270C">
        <w:rPr>
          <w:rFonts w:ascii="Times New Roman" w:hAnsi="Times New Roman" w:cs="Times New Roman"/>
        </w:rPr>
        <w:t>S</w:t>
      </w:r>
      <w:r w:rsidRPr="005104A1">
        <w:rPr>
          <w:rFonts w:ascii="Times New Roman" w:hAnsi="Times New Roman" w:cs="Times New Roman"/>
        </w:rPr>
        <w:t xml:space="preserve">ee Nunn and </w:t>
      </w:r>
      <w:proofErr w:type="spellStart"/>
      <w:r w:rsidRPr="005104A1">
        <w:rPr>
          <w:rFonts w:ascii="Times New Roman" w:hAnsi="Times New Roman" w:cs="Times New Roman"/>
        </w:rPr>
        <w:t>Qian</w:t>
      </w:r>
      <w:proofErr w:type="spellEnd"/>
      <w:r w:rsidRPr="005104A1">
        <w:rPr>
          <w:rFonts w:ascii="Times New Roman" w:hAnsi="Times New Roman" w:cs="Times New Roman"/>
        </w:rPr>
        <w:t xml:space="preserve"> </w:t>
      </w:r>
      <w:r>
        <w:rPr>
          <w:rFonts w:ascii="Times New Roman" w:hAnsi="Times New Roman" w:cs="Times New Roman"/>
        </w:rPr>
        <w:t>(</w:t>
      </w:r>
      <w:r w:rsidRPr="005104A1">
        <w:rPr>
          <w:rFonts w:ascii="Times New Roman" w:hAnsi="Times New Roman" w:cs="Times New Roman"/>
        </w:rPr>
        <w:t>2009</w:t>
      </w:r>
      <w:r>
        <w:rPr>
          <w:rFonts w:ascii="Times New Roman" w:hAnsi="Times New Roman" w:cs="Times New Roman"/>
        </w:rPr>
        <w:t>)</w:t>
      </w:r>
      <w:r w:rsidRPr="005104A1">
        <w:rPr>
          <w:rFonts w:ascii="Times New Roman" w:hAnsi="Times New Roman" w:cs="Times New Roman"/>
        </w:rPr>
        <w:t xml:space="preserve"> for a recent application and a more detailed description of the data</w:t>
      </w:r>
      <w:r>
        <w:rPr>
          <w:rFonts w:ascii="Times New Roman" w:hAnsi="Times New Roman" w:cs="Times New Roman"/>
        </w:rPr>
        <w:t xml:space="preserve">. </w:t>
      </w:r>
      <w:r w:rsidRPr="009C7368">
        <w:rPr>
          <w:rFonts w:ascii="Times New Roman" w:hAnsi="Times New Roman" w:cs="Times New Roman"/>
        </w:rPr>
        <w:t>GAEZ is available for different scenarios in which different levels of input are applied. We use the high input option and allow for irrigation, as there is little useful variation to be explored in the intermediate and low-level use of inputs.</w:t>
      </w:r>
    </w:p>
  </w:footnote>
  <w:footnote w:id="6">
    <w:p w14:paraId="76229F50" w14:textId="52D43EB8" w:rsidR="00E5018E" w:rsidRPr="00ED5D68" w:rsidRDefault="00E5018E" w:rsidP="0090450B">
      <w:pPr>
        <w:pStyle w:val="FootnoteText"/>
        <w:jc w:val="both"/>
        <w:rPr>
          <w:rFonts w:ascii="Times New Roman" w:hAnsi="Times New Roman" w:cs="Times New Roman"/>
        </w:rPr>
      </w:pPr>
      <w:r w:rsidRPr="009C7368">
        <w:rPr>
          <w:rStyle w:val="FootnoteReference"/>
          <w:rFonts w:ascii="Times New Roman" w:hAnsi="Times New Roman" w:cs="Times New Roman"/>
        </w:rPr>
        <w:footnoteRef/>
      </w:r>
      <w:r w:rsidRPr="009C7368">
        <w:rPr>
          <w:rFonts w:ascii="Times New Roman" w:hAnsi="Times New Roman" w:cs="Times New Roman"/>
        </w:rPr>
        <w:t xml:space="preserve"> </w:t>
      </w:r>
      <w:r w:rsidRPr="00ED5D68">
        <w:rPr>
          <w:rFonts w:ascii="Times New Roman" w:hAnsi="Times New Roman" w:cs="Times New Roman"/>
        </w:rPr>
        <w:t>We use the count of cattle in the year 2000 and assume that the environmental conditions that make some areas suitable for cattle have not changed. Areas with &gt; 2000 cattle /km</w:t>
      </w:r>
      <w:r w:rsidRPr="00ED5D68">
        <w:rPr>
          <w:rFonts w:ascii="Times New Roman" w:hAnsi="Times New Roman" w:cs="Times New Roman"/>
          <w:vertAlign w:val="superscript"/>
        </w:rPr>
        <w:t>2</w:t>
      </w:r>
      <w:r w:rsidRPr="00ED5D68">
        <w:rPr>
          <w:rFonts w:ascii="Times New Roman" w:hAnsi="Times New Roman" w:cs="Times New Roman"/>
        </w:rPr>
        <w:t xml:space="preserve"> are defined as suitable to dairy production</w:t>
      </w:r>
      <w:r>
        <w:rPr>
          <w:rFonts w:ascii="Times New Roman" w:hAnsi="Times New Roman" w:cs="Times New Roman"/>
        </w:rPr>
        <w:t>.</w:t>
      </w:r>
    </w:p>
  </w:footnote>
  <w:footnote w:id="7">
    <w:p w14:paraId="4C70B496" w14:textId="040B78FC" w:rsidR="00E5018E" w:rsidRPr="00E6247F" w:rsidRDefault="00E5018E">
      <w:pPr>
        <w:pStyle w:val="FootnoteText"/>
        <w:rPr>
          <w:rFonts w:ascii="Times New Roman" w:hAnsi="Times New Roman" w:cs="Times New Roman"/>
          <w:lang w:val="sv-SE"/>
        </w:rPr>
      </w:pPr>
      <w:r w:rsidRPr="00E6247F">
        <w:rPr>
          <w:rStyle w:val="FootnoteReference"/>
          <w:rFonts w:ascii="Times New Roman" w:hAnsi="Times New Roman" w:cs="Times New Roman"/>
        </w:rPr>
        <w:footnoteRef/>
      </w:r>
      <w:r w:rsidRPr="00E6247F">
        <w:rPr>
          <w:rFonts w:ascii="Times New Roman" w:hAnsi="Times New Roman" w:cs="Times New Roman"/>
        </w:rPr>
        <w:t xml:space="preserve"> </w:t>
      </w:r>
      <w:r w:rsidRPr="006A4DAE">
        <w:rPr>
          <w:rFonts w:ascii="Times New Roman" w:hAnsi="Times New Roman" w:cs="Times New Roman"/>
        </w:rPr>
        <w:t xml:space="preserve">One concern is that the price hikes reduced consumption of the exported goods. However, none of the commodities studied were staple foods in 19th century Sweden. Also, </w:t>
      </w:r>
      <w:r w:rsidR="00040127">
        <w:rPr>
          <w:rFonts w:ascii="Times New Roman" w:hAnsi="Times New Roman" w:cs="Times New Roman"/>
        </w:rPr>
        <w:t xml:space="preserve">any decrease in consumption </w:t>
      </w:r>
      <w:r w:rsidRPr="006A4DAE">
        <w:rPr>
          <w:rFonts w:ascii="Times New Roman" w:hAnsi="Times New Roman" w:cs="Times New Roman"/>
        </w:rPr>
        <w:t xml:space="preserve">would have </w:t>
      </w:r>
      <w:r w:rsidR="00040127">
        <w:rPr>
          <w:rFonts w:ascii="Times New Roman" w:hAnsi="Times New Roman" w:cs="Times New Roman"/>
        </w:rPr>
        <w:t>been</w:t>
      </w:r>
      <w:r w:rsidRPr="006A4DAE">
        <w:rPr>
          <w:rFonts w:ascii="Times New Roman" w:hAnsi="Times New Roman" w:cs="Times New Roman"/>
        </w:rPr>
        <w:t xml:space="preserve"> gender-neutral</w:t>
      </w:r>
      <w:r>
        <w:rPr>
          <w:rFonts w:ascii="Times New Roman" w:hAnsi="Times New Roman" w:cs="Times New Roman"/>
        </w:rPr>
        <w:t>,</w:t>
      </w:r>
      <w:r w:rsidR="00040127">
        <w:rPr>
          <w:rFonts w:ascii="Times New Roman" w:hAnsi="Times New Roman" w:cs="Times New Roman"/>
        </w:rPr>
        <w:t xml:space="preserve"> and thus</w:t>
      </w:r>
      <w:r w:rsidRPr="006A4DAE">
        <w:rPr>
          <w:rFonts w:ascii="Times New Roman" w:hAnsi="Times New Roman" w:cs="Times New Roman"/>
        </w:rPr>
        <w:t xml:space="preserve"> unlikely to bias our estimates.</w:t>
      </w:r>
    </w:p>
  </w:footnote>
  <w:footnote w:id="8">
    <w:p w14:paraId="2946BEEB" w14:textId="74D2166B" w:rsidR="00E5018E" w:rsidRPr="00ED5D68" w:rsidRDefault="00E5018E" w:rsidP="0090450B">
      <w:pPr>
        <w:pStyle w:val="FootnoteText"/>
        <w:jc w:val="both"/>
        <w:rPr>
          <w:rFonts w:ascii="Times New Roman" w:hAnsi="Times New Roman" w:cs="Times New Roman"/>
        </w:rPr>
      </w:pPr>
      <w:r w:rsidRPr="009C7368">
        <w:rPr>
          <w:rStyle w:val="FootnoteReference"/>
          <w:rFonts w:ascii="Times New Roman" w:hAnsi="Times New Roman" w:cs="Times New Roman"/>
        </w:rPr>
        <w:footnoteRef/>
      </w:r>
      <w:r w:rsidRPr="009C7368">
        <w:rPr>
          <w:rFonts w:ascii="Times New Roman" w:hAnsi="Times New Roman" w:cs="Times New Roman"/>
        </w:rPr>
        <w:t xml:space="preserve"> </w:t>
      </w:r>
      <w:r>
        <w:rPr>
          <w:rFonts w:ascii="Times New Roman" w:hAnsi="Times New Roman" w:cs="Times New Roman"/>
        </w:rPr>
        <w:t xml:space="preserve">We </w:t>
      </w:r>
      <w:r w:rsidRPr="009C7368">
        <w:rPr>
          <w:rFonts w:ascii="Times New Roman" w:hAnsi="Times New Roman" w:cs="Times New Roman"/>
        </w:rPr>
        <w:t>tested whether the effects on child health are isolated in the group of illegitimate children. We found no evidence that the effects of the shocks differ between children born to single mo</w:t>
      </w:r>
      <w:r>
        <w:rPr>
          <w:rFonts w:ascii="Times New Roman" w:hAnsi="Times New Roman" w:cs="Times New Roman"/>
        </w:rPr>
        <w:t>thers</w:t>
      </w:r>
      <w:r w:rsidRPr="009C7368">
        <w:rPr>
          <w:rFonts w:ascii="Times New Roman" w:hAnsi="Times New Roman" w:cs="Times New Roman"/>
        </w:rPr>
        <w:t xml:space="preserve"> and children born to married couples. </w:t>
      </w:r>
      <w:r>
        <w:rPr>
          <w:rFonts w:ascii="Times New Roman" w:hAnsi="Times New Roman" w:cs="Times New Roman"/>
        </w:rPr>
        <w:t>In addition, w</w:t>
      </w:r>
      <w:r w:rsidRPr="009C7368">
        <w:rPr>
          <w:rFonts w:ascii="Times New Roman" w:hAnsi="Times New Roman" w:cs="Times New Roman"/>
        </w:rPr>
        <w:t>e f</w:t>
      </w:r>
      <w:r>
        <w:rPr>
          <w:rFonts w:ascii="Times New Roman" w:hAnsi="Times New Roman" w:cs="Times New Roman"/>
        </w:rPr>
        <w:t>ind</w:t>
      </w:r>
      <w:r w:rsidRPr="009C7368">
        <w:rPr>
          <w:rFonts w:ascii="Times New Roman" w:hAnsi="Times New Roman" w:cs="Times New Roman"/>
        </w:rPr>
        <w:t xml:space="preserve"> no significant </w:t>
      </w:r>
      <w:r>
        <w:rPr>
          <w:rFonts w:ascii="Times New Roman" w:hAnsi="Times New Roman" w:cs="Times New Roman"/>
        </w:rPr>
        <w:t xml:space="preserve">gender </w:t>
      </w:r>
      <w:r w:rsidRPr="009C7368">
        <w:rPr>
          <w:rFonts w:ascii="Times New Roman" w:hAnsi="Times New Roman" w:cs="Times New Roman"/>
        </w:rPr>
        <w:t>differences in the effects of the shocks.</w:t>
      </w:r>
    </w:p>
  </w:footnote>
  <w:footnote w:id="9">
    <w:p w14:paraId="1A1704C8" w14:textId="1C300B44" w:rsidR="00E5018E" w:rsidRPr="009D6CDA" w:rsidRDefault="00E5018E" w:rsidP="0090450B">
      <w:pPr>
        <w:pStyle w:val="FootnoteText"/>
        <w:jc w:val="both"/>
        <w:rPr>
          <w:rFonts w:ascii="Times New Roman" w:hAnsi="Times New Roman" w:cs="Times New Roman"/>
        </w:rPr>
      </w:pPr>
      <w:r w:rsidRPr="009D6CDA">
        <w:rPr>
          <w:rStyle w:val="FootnoteReference"/>
          <w:rFonts w:ascii="Times New Roman" w:hAnsi="Times New Roman" w:cs="Times New Roman"/>
        </w:rPr>
        <w:footnoteRef/>
      </w:r>
      <w:r w:rsidRPr="009D6CDA">
        <w:rPr>
          <w:rFonts w:ascii="Times New Roman" w:hAnsi="Times New Roman" w:cs="Times New Roman"/>
        </w:rPr>
        <w:t xml:space="preserve"> This result confirm</w:t>
      </w:r>
      <w:r>
        <w:rPr>
          <w:rFonts w:ascii="Times New Roman" w:hAnsi="Times New Roman" w:cs="Times New Roman"/>
        </w:rPr>
        <w:t>s</w:t>
      </w:r>
      <w:r w:rsidRPr="009D6CDA">
        <w:rPr>
          <w:rFonts w:ascii="Times New Roman" w:hAnsi="Times New Roman" w:cs="Times New Roman"/>
        </w:rPr>
        <w:t xml:space="preserve"> Schultz’s findings (1985) in an individual level panel dataset</w:t>
      </w:r>
      <w:r>
        <w:rPr>
          <w:rFonts w:ascii="Times New Roman" w:hAnsi="Times New Roman" w:cs="Times New Roman"/>
        </w:rPr>
        <w:t>. The results are very similar when we estimate separate models for men and women, so we pool the two samples and control for gender in the analysis. We find no significant effects of any type of shock on the age at first marriage for either gender.</w:t>
      </w:r>
    </w:p>
  </w:footnote>
  <w:footnote w:id="10">
    <w:p w14:paraId="001F241B" w14:textId="4929FC10" w:rsidR="00E5018E" w:rsidRPr="00D85C46" w:rsidRDefault="00E5018E" w:rsidP="0090450B">
      <w:pPr>
        <w:pStyle w:val="FootnoteText"/>
        <w:jc w:val="both"/>
        <w:rPr>
          <w:rFonts w:ascii="Times New Roman" w:hAnsi="Times New Roman" w:cs="Times New Roman"/>
        </w:rPr>
      </w:pPr>
      <w:r w:rsidRPr="00D85C46">
        <w:rPr>
          <w:rStyle w:val="FootnoteReference"/>
          <w:rFonts w:ascii="Times New Roman" w:hAnsi="Times New Roman" w:cs="Times New Roman"/>
        </w:rPr>
        <w:footnoteRef/>
      </w:r>
      <w:r w:rsidRPr="00D85C46">
        <w:rPr>
          <w:rFonts w:ascii="Times New Roman" w:hAnsi="Times New Roman" w:cs="Times New Roman"/>
        </w:rPr>
        <w:t xml:space="preserve"> </w:t>
      </w:r>
      <w:r>
        <w:rPr>
          <w:rFonts w:ascii="Times New Roman" w:hAnsi="Times New Roman" w:cs="Times New Roman"/>
        </w:rPr>
        <w:t>In 19th century Sweden a newly married couple established a separate household with independent land holdings</w:t>
      </w:r>
    </w:p>
  </w:footnote>
  <w:footnote w:id="11">
    <w:p w14:paraId="749B14AC" w14:textId="3E6478DA" w:rsidR="00E5018E" w:rsidRPr="00D85C46" w:rsidRDefault="00E5018E" w:rsidP="0090450B">
      <w:pPr>
        <w:pStyle w:val="FootnoteText"/>
        <w:jc w:val="both"/>
        <w:rPr>
          <w:rFonts w:ascii="Times New Roman" w:hAnsi="Times New Roman" w:cs="Times New Roman"/>
        </w:rPr>
      </w:pPr>
      <w:r w:rsidRPr="00D85C46">
        <w:rPr>
          <w:rStyle w:val="FootnoteReference"/>
          <w:rFonts w:ascii="Times New Roman" w:hAnsi="Times New Roman" w:cs="Times New Roman"/>
        </w:rPr>
        <w:footnoteRef/>
      </w:r>
      <w:r>
        <w:rPr>
          <w:rFonts w:ascii="Times New Roman" w:hAnsi="Times New Roman" w:cs="Times New Roman"/>
        </w:rPr>
        <w:t xml:space="preserve"> </w:t>
      </w:r>
      <w:r w:rsidRPr="00D85C46">
        <w:rPr>
          <w:rFonts w:ascii="Times New Roman" w:hAnsi="Times New Roman" w:cs="Times New Roman"/>
        </w:rPr>
        <w:t xml:space="preserve">When studying total fertility we use the </w:t>
      </w:r>
      <w:r>
        <w:rPr>
          <w:rFonts w:ascii="Times New Roman" w:hAnsi="Times New Roman" w:cs="Times New Roman"/>
        </w:rPr>
        <w:t>sample of cohorts</w:t>
      </w:r>
      <w:r w:rsidRPr="00D85C46">
        <w:rPr>
          <w:rFonts w:ascii="Times New Roman" w:hAnsi="Times New Roman" w:cs="Times New Roman"/>
        </w:rPr>
        <w:t xml:space="preserve"> for whom we observe fertility at least until age 35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932"/>
    <w:rsid w:val="000164C8"/>
    <w:rsid w:val="00024104"/>
    <w:rsid w:val="0003160D"/>
    <w:rsid w:val="00040127"/>
    <w:rsid w:val="00040365"/>
    <w:rsid w:val="000568AB"/>
    <w:rsid w:val="000942A3"/>
    <w:rsid w:val="000B5528"/>
    <w:rsid w:val="000D03C3"/>
    <w:rsid w:val="000D32BE"/>
    <w:rsid w:val="00101A6C"/>
    <w:rsid w:val="001046EB"/>
    <w:rsid w:val="00105A9D"/>
    <w:rsid w:val="00130B23"/>
    <w:rsid w:val="00184640"/>
    <w:rsid w:val="001B385B"/>
    <w:rsid w:val="001B645B"/>
    <w:rsid w:val="001C2FF4"/>
    <w:rsid w:val="001C4012"/>
    <w:rsid w:val="001E2549"/>
    <w:rsid w:val="00201A2E"/>
    <w:rsid w:val="00222F69"/>
    <w:rsid w:val="00255EBA"/>
    <w:rsid w:val="00276F20"/>
    <w:rsid w:val="00284B51"/>
    <w:rsid w:val="00287BA0"/>
    <w:rsid w:val="00297CB6"/>
    <w:rsid w:val="002D014A"/>
    <w:rsid w:val="002D2B2C"/>
    <w:rsid w:val="002E06A5"/>
    <w:rsid w:val="00303376"/>
    <w:rsid w:val="003232BB"/>
    <w:rsid w:val="00332689"/>
    <w:rsid w:val="00337279"/>
    <w:rsid w:val="003907E0"/>
    <w:rsid w:val="003930D0"/>
    <w:rsid w:val="00396E71"/>
    <w:rsid w:val="003A58D3"/>
    <w:rsid w:val="003B170C"/>
    <w:rsid w:val="003D44CA"/>
    <w:rsid w:val="00402085"/>
    <w:rsid w:val="00404E7B"/>
    <w:rsid w:val="004277D9"/>
    <w:rsid w:val="00446837"/>
    <w:rsid w:val="004508E9"/>
    <w:rsid w:val="00461E47"/>
    <w:rsid w:val="00476679"/>
    <w:rsid w:val="004838B0"/>
    <w:rsid w:val="004A32C6"/>
    <w:rsid w:val="004B2DF0"/>
    <w:rsid w:val="004B5BA9"/>
    <w:rsid w:val="004C1AB9"/>
    <w:rsid w:val="004D2A45"/>
    <w:rsid w:val="004F2755"/>
    <w:rsid w:val="00512131"/>
    <w:rsid w:val="00526679"/>
    <w:rsid w:val="00531C9D"/>
    <w:rsid w:val="00541398"/>
    <w:rsid w:val="00544FCB"/>
    <w:rsid w:val="00547BC4"/>
    <w:rsid w:val="005535E5"/>
    <w:rsid w:val="0055678B"/>
    <w:rsid w:val="00566802"/>
    <w:rsid w:val="0057338C"/>
    <w:rsid w:val="0057473A"/>
    <w:rsid w:val="005760B8"/>
    <w:rsid w:val="005C0B02"/>
    <w:rsid w:val="005C2ACB"/>
    <w:rsid w:val="005E0096"/>
    <w:rsid w:val="005F4C7B"/>
    <w:rsid w:val="00604796"/>
    <w:rsid w:val="00612C79"/>
    <w:rsid w:val="006A4DAE"/>
    <w:rsid w:val="006E1ADE"/>
    <w:rsid w:val="007326DD"/>
    <w:rsid w:val="00734936"/>
    <w:rsid w:val="00741430"/>
    <w:rsid w:val="00746EFB"/>
    <w:rsid w:val="0075390B"/>
    <w:rsid w:val="007650A2"/>
    <w:rsid w:val="00767517"/>
    <w:rsid w:val="00767608"/>
    <w:rsid w:val="007724CB"/>
    <w:rsid w:val="00775ACD"/>
    <w:rsid w:val="007A7D75"/>
    <w:rsid w:val="007C5ED7"/>
    <w:rsid w:val="007D0353"/>
    <w:rsid w:val="007D7144"/>
    <w:rsid w:val="007F1982"/>
    <w:rsid w:val="00830067"/>
    <w:rsid w:val="00835836"/>
    <w:rsid w:val="008467F4"/>
    <w:rsid w:val="008653A7"/>
    <w:rsid w:val="00897E89"/>
    <w:rsid w:val="008D1E63"/>
    <w:rsid w:val="0090450B"/>
    <w:rsid w:val="00910099"/>
    <w:rsid w:val="00917D89"/>
    <w:rsid w:val="0092480B"/>
    <w:rsid w:val="00937855"/>
    <w:rsid w:val="00955E03"/>
    <w:rsid w:val="00964E71"/>
    <w:rsid w:val="00970142"/>
    <w:rsid w:val="009714BC"/>
    <w:rsid w:val="00974266"/>
    <w:rsid w:val="00991141"/>
    <w:rsid w:val="009B57E3"/>
    <w:rsid w:val="009B5C0A"/>
    <w:rsid w:val="009C0ED4"/>
    <w:rsid w:val="009C3DBE"/>
    <w:rsid w:val="009D3EBA"/>
    <w:rsid w:val="009E5019"/>
    <w:rsid w:val="009F303F"/>
    <w:rsid w:val="00A31932"/>
    <w:rsid w:val="00A4174B"/>
    <w:rsid w:val="00A44DDD"/>
    <w:rsid w:val="00A6061B"/>
    <w:rsid w:val="00A80509"/>
    <w:rsid w:val="00AB73D7"/>
    <w:rsid w:val="00AB748F"/>
    <w:rsid w:val="00AC12B6"/>
    <w:rsid w:val="00AC591E"/>
    <w:rsid w:val="00AC6BE6"/>
    <w:rsid w:val="00AC7602"/>
    <w:rsid w:val="00B01C39"/>
    <w:rsid w:val="00B02683"/>
    <w:rsid w:val="00B03C67"/>
    <w:rsid w:val="00B304FB"/>
    <w:rsid w:val="00B56C19"/>
    <w:rsid w:val="00B57D19"/>
    <w:rsid w:val="00BB5FBC"/>
    <w:rsid w:val="00BD1732"/>
    <w:rsid w:val="00BD5678"/>
    <w:rsid w:val="00C03D5D"/>
    <w:rsid w:val="00C05DEF"/>
    <w:rsid w:val="00C21792"/>
    <w:rsid w:val="00C41C9D"/>
    <w:rsid w:val="00C42C44"/>
    <w:rsid w:val="00C4506B"/>
    <w:rsid w:val="00C47450"/>
    <w:rsid w:val="00C47D94"/>
    <w:rsid w:val="00C53CF6"/>
    <w:rsid w:val="00C55F81"/>
    <w:rsid w:val="00C57174"/>
    <w:rsid w:val="00C60E24"/>
    <w:rsid w:val="00C86F9C"/>
    <w:rsid w:val="00C94CB0"/>
    <w:rsid w:val="00C950C7"/>
    <w:rsid w:val="00C95718"/>
    <w:rsid w:val="00CA6B8F"/>
    <w:rsid w:val="00CB167A"/>
    <w:rsid w:val="00CB2C3B"/>
    <w:rsid w:val="00CE0E9E"/>
    <w:rsid w:val="00D04555"/>
    <w:rsid w:val="00D34B87"/>
    <w:rsid w:val="00D37AB8"/>
    <w:rsid w:val="00D37B8F"/>
    <w:rsid w:val="00D41B6C"/>
    <w:rsid w:val="00D633A8"/>
    <w:rsid w:val="00D82F96"/>
    <w:rsid w:val="00D8597D"/>
    <w:rsid w:val="00DB59C2"/>
    <w:rsid w:val="00DD7566"/>
    <w:rsid w:val="00E06B1D"/>
    <w:rsid w:val="00E4260E"/>
    <w:rsid w:val="00E5018E"/>
    <w:rsid w:val="00E53C4E"/>
    <w:rsid w:val="00E5400B"/>
    <w:rsid w:val="00E55EFB"/>
    <w:rsid w:val="00E6247F"/>
    <w:rsid w:val="00E637B1"/>
    <w:rsid w:val="00E65757"/>
    <w:rsid w:val="00E834E1"/>
    <w:rsid w:val="00EA0877"/>
    <w:rsid w:val="00ED5D68"/>
    <w:rsid w:val="00F36D3F"/>
    <w:rsid w:val="00F4049E"/>
    <w:rsid w:val="00F639FC"/>
    <w:rsid w:val="00FB2803"/>
    <w:rsid w:val="00FC6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5F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1932"/>
    <w:pPr>
      <w:spacing w:after="0" w:line="240" w:lineRule="auto"/>
    </w:pPr>
  </w:style>
  <w:style w:type="paragraph" w:styleId="Footer">
    <w:name w:val="footer"/>
    <w:basedOn w:val="Normal"/>
    <w:link w:val="FooterChar"/>
    <w:uiPriority w:val="99"/>
    <w:unhideWhenUsed/>
    <w:rsid w:val="00A31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932"/>
  </w:style>
  <w:style w:type="character" w:customStyle="1" w:styleId="st">
    <w:name w:val="st"/>
    <w:basedOn w:val="DefaultParagraphFont"/>
    <w:rsid w:val="00A31932"/>
  </w:style>
  <w:style w:type="character" w:styleId="Emphasis">
    <w:name w:val="Emphasis"/>
    <w:basedOn w:val="DefaultParagraphFont"/>
    <w:uiPriority w:val="20"/>
    <w:qFormat/>
    <w:rsid w:val="00A31932"/>
    <w:rPr>
      <w:i/>
      <w:iCs/>
    </w:rPr>
  </w:style>
  <w:style w:type="paragraph" w:styleId="FootnoteText">
    <w:name w:val="footnote text"/>
    <w:basedOn w:val="Normal"/>
    <w:link w:val="FootnoteTextChar"/>
    <w:uiPriority w:val="99"/>
    <w:unhideWhenUsed/>
    <w:rsid w:val="00A31932"/>
    <w:pPr>
      <w:spacing w:after="0" w:line="240" w:lineRule="auto"/>
    </w:pPr>
    <w:rPr>
      <w:sz w:val="20"/>
      <w:szCs w:val="20"/>
    </w:rPr>
  </w:style>
  <w:style w:type="character" w:customStyle="1" w:styleId="FootnoteTextChar">
    <w:name w:val="Footnote Text Char"/>
    <w:basedOn w:val="DefaultParagraphFont"/>
    <w:link w:val="FootnoteText"/>
    <w:uiPriority w:val="99"/>
    <w:rsid w:val="00A31932"/>
    <w:rPr>
      <w:sz w:val="20"/>
      <w:szCs w:val="20"/>
    </w:rPr>
  </w:style>
  <w:style w:type="character" w:styleId="FootnoteReference">
    <w:name w:val="footnote reference"/>
    <w:basedOn w:val="DefaultParagraphFont"/>
    <w:unhideWhenUsed/>
    <w:rsid w:val="00A31932"/>
    <w:rPr>
      <w:vertAlign w:val="superscript"/>
    </w:rPr>
  </w:style>
  <w:style w:type="paragraph" w:styleId="BalloonText">
    <w:name w:val="Balloon Text"/>
    <w:basedOn w:val="Normal"/>
    <w:link w:val="BalloonTextChar"/>
    <w:uiPriority w:val="99"/>
    <w:semiHidden/>
    <w:unhideWhenUsed/>
    <w:rsid w:val="00A31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932"/>
    <w:rPr>
      <w:rFonts w:ascii="Tahoma" w:hAnsi="Tahoma" w:cs="Tahoma"/>
      <w:sz w:val="16"/>
      <w:szCs w:val="16"/>
    </w:rPr>
  </w:style>
  <w:style w:type="character" w:styleId="Strong">
    <w:name w:val="Strong"/>
    <w:basedOn w:val="DefaultParagraphFont"/>
    <w:uiPriority w:val="22"/>
    <w:qFormat/>
    <w:rsid w:val="00AB73D7"/>
    <w:rPr>
      <w:b/>
      <w:bCs/>
    </w:rPr>
  </w:style>
  <w:style w:type="character" w:styleId="Hyperlink">
    <w:name w:val="Hyperlink"/>
    <w:basedOn w:val="DefaultParagraphFont"/>
    <w:uiPriority w:val="99"/>
    <w:unhideWhenUsed/>
    <w:rsid w:val="00B01C39"/>
    <w:rPr>
      <w:color w:val="0000FF"/>
      <w:u w:val="single"/>
    </w:rPr>
  </w:style>
  <w:style w:type="table" w:styleId="TableGrid">
    <w:name w:val="Table Grid"/>
    <w:basedOn w:val="TableNormal"/>
    <w:uiPriority w:val="59"/>
    <w:rsid w:val="00512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19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7F19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1932"/>
    <w:pPr>
      <w:spacing w:after="0" w:line="240" w:lineRule="auto"/>
    </w:pPr>
  </w:style>
  <w:style w:type="paragraph" w:styleId="Footer">
    <w:name w:val="footer"/>
    <w:basedOn w:val="Normal"/>
    <w:link w:val="FooterChar"/>
    <w:uiPriority w:val="99"/>
    <w:unhideWhenUsed/>
    <w:rsid w:val="00A319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932"/>
  </w:style>
  <w:style w:type="character" w:customStyle="1" w:styleId="st">
    <w:name w:val="st"/>
    <w:basedOn w:val="DefaultParagraphFont"/>
    <w:rsid w:val="00A31932"/>
  </w:style>
  <w:style w:type="character" w:styleId="Emphasis">
    <w:name w:val="Emphasis"/>
    <w:basedOn w:val="DefaultParagraphFont"/>
    <w:uiPriority w:val="20"/>
    <w:qFormat/>
    <w:rsid w:val="00A31932"/>
    <w:rPr>
      <w:i/>
      <w:iCs/>
    </w:rPr>
  </w:style>
  <w:style w:type="paragraph" w:styleId="FootnoteText">
    <w:name w:val="footnote text"/>
    <w:basedOn w:val="Normal"/>
    <w:link w:val="FootnoteTextChar"/>
    <w:uiPriority w:val="99"/>
    <w:unhideWhenUsed/>
    <w:rsid w:val="00A31932"/>
    <w:pPr>
      <w:spacing w:after="0" w:line="240" w:lineRule="auto"/>
    </w:pPr>
    <w:rPr>
      <w:sz w:val="20"/>
      <w:szCs w:val="20"/>
    </w:rPr>
  </w:style>
  <w:style w:type="character" w:customStyle="1" w:styleId="FootnoteTextChar">
    <w:name w:val="Footnote Text Char"/>
    <w:basedOn w:val="DefaultParagraphFont"/>
    <w:link w:val="FootnoteText"/>
    <w:uiPriority w:val="99"/>
    <w:rsid w:val="00A31932"/>
    <w:rPr>
      <w:sz w:val="20"/>
      <w:szCs w:val="20"/>
    </w:rPr>
  </w:style>
  <w:style w:type="character" w:styleId="FootnoteReference">
    <w:name w:val="footnote reference"/>
    <w:basedOn w:val="DefaultParagraphFont"/>
    <w:unhideWhenUsed/>
    <w:rsid w:val="00A31932"/>
    <w:rPr>
      <w:vertAlign w:val="superscript"/>
    </w:rPr>
  </w:style>
  <w:style w:type="paragraph" w:styleId="BalloonText">
    <w:name w:val="Balloon Text"/>
    <w:basedOn w:val="Normal"/>
    <w:link w:val="BalloonTextChar"/>
    <w:uiPriority w:val="99"/>
    <w:semiHidden/>
    <w:unhideWhenUsed/>
    <w:rsid w:val="00A31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932"/>
    <w:rPr>
      <w:rFonts w:ascii="Tahoma" w:hAnsi="Tahoma" w:cs="Tahoma"/>
      <w:sz w:val="16"/>
      <w:szCs w:val="16"/>
    </w:rPr>
  </w:style>
  <w:style w:type="character" w:styleId="Strong">
    <w:name w:val="Strong"/>
    <w:basedOn w:val="DefaultParagraphFont"/>
    <w:uiPriority w:val="22"/>
    <w:qFormat/>
    <w:rsid w:val="00AB73D7"/>
    <w:rPr>
      <w:b/>
      <w:bCs/>
    </w:rPr>
  </w:style>
  <w:style w:type="character" w:styleId="Hyperlink">
    <w:name w:val="Hyperlink"/>
    <w:basedOn w:val="DefaultParagraphFont"/>
    <w:uiPriority w:val="99"/>
    <w:unhideWhenUsed/>
    <w:rsid w:val="00B01C39"/>
    <w:rPr>
      <w:color w:val="0000FF"/>
      <w:u w:val="single"/>
    </w:rPr>
  </w:style>
  <w:style w:type="table" w:styleId="TableGrid">
    <w:name w:val="Table Grid"/>
    <w:basedOn w:val="TableNormal"/>
    <w:uiPriority w:val="59"/>
    <w:rsid w:val="00512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F1982"/>
    <w:pPr>
      <w:tabs>
        <w:tab w:val="center" w:pos="4320"/>
        <w:tab w:val="right" w:pos="8640"/>
      </w:tabs>
      <w:spacing w:after="0" w:line="240" w:lineRule="auto"/>
    </w:pPr>
  </w:style>
  <w:style w:type="character" w:customStyle="1" w:styleId="HeaderChar">
    <w:name w:val="Header Char"/>
    <w:basedOn w:val="DefaultParagraphFont"/>
    <w:link w:val="Header"/>
    <w:uiPriority w:val="99"/>
    <w:rsid w:val="007F1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23965">
      <w:bodyDiv w:val="1"/>
      <w:marLeft w:val="0"/>
      <w:marRight w:val="0"/>
      <w:marTop w:val="0"/>
      <w:marBottom w:val="0"/>
      <w:divBdr>
        <w:top w:val="none" w:sz="0" w:space="0" w:color="auto"/>
        <w:left w:val="none" w:sz="0" w:space="0" w:color="auto"/>
        <w:bottom w:val="none" w:sz="0" w:space="0" w:color="auto"/>
        <w:right w:val="none" w:sz="0" w:space="0" w:color="auto"/>
      </w:divBdr>
    </w:div>
    <w:div w:id="414977321">
      <w:bodyDiv w:val="1"/>
      <w:marLeft w:val="0"/>
      <w:marRight w:val="0"/>
      <w:marTop w:val="0"/>
      <w:marBottom w:val="0"/>
      <w:divBdr>
        <w:top w:val="none" w:sz="0" w:space="0" w:color="auto"/>
        <w:left w:val="none" w:sz="0" w:space="0" w:color="auto"/>
        <w:bottom w:val="none" w:sz="0" w:space="0" w:color="auto"/>
        <w:right w:val="none" w:sz="0" w:space="0" w:color="auto"/>
      </w:divBdr>
    </w:div>
    <w:div w:id="1236281046">
      <w:bodyDiv w:val="1"/>
      <w:marLeft w:val="0"/>
      <w:marRight w:val="0"/>
      <w:marTop w:val="0"/>
      <w:marBottom w:val="0"/>
      <w:divBdr>
        <w:top w:val="none" w:sz="0" w:space="0" w:color="auto"/>
        <w:left w:val="none" w:sz="0" w:space="0" w:color="auto"/>
        <w:bottom w:val="none" w:sz="0" w:space="0" w:color="auto"/>
        <w:right w:val="none" w:sz="0" w:space="0" w:color="auto"/>
      </w:divBdr>
    </w:div>
    <w:div w:id="1499147792">
      <w:bodyDiv w:val="1"/>
      <w:marLeft w:val="0"/>
      <w:marRight w:val="0"/>
      <w:marTop w:val="0"/>
      <w:marBottom w:val="0"/>
      <w:divBdr>
        <w:top w:val="none" w:sz="0" w:space="0" w:color="auto"/>
        <w:left w:val="none" w:sz="0" w:space="0" w:color="auto"/>
        <w:bottom w:val="none" w:sz="0" w:space="0" w:color="auto"/>
        <w:right w:val="none" w:sz="0" w:space="0" w:color="auto"/>
      </w:divBdr>
    </w:div>
    <w:div w:id="163652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DE751-ADD2-460B-BD31-17D684E1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3099</Words>
  <Characters>17668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20726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 Simeonova</dc:creator>
  <cp:lastModifiedBy>serezha</cp:lastModifiedBy>
  <cp:revision>41</cp:revision>
  <cp:lastPrinted>2012-12-07T17:17:00Z</cp:lastPrinted>
  <dcterms:created xsi:type="dcterms:W3CDTF">2012-12-07T15:11:00Z</dcterms:created>
  <dcterms:modified xsi:type="dcterms:W3CDTF">2012-12-07T17:58:00Z</dcterms:modified>
</cp:coreProperties>
</file>